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B0504"/>
    <w:p w14:paraId="7544F257"/>
    <w:p w14:paraId="6B5C82F4"/>
    <w:p w14:paraId="1D635207"/>
    <w:p w14:paraId="6A43462B"/>
    <w:p w14:paraId="3ED3DEF2">
      <w:pPr>
        <w:jc w:val="center"/>
      </w:pPr>
    </w:p>
    <w:p w14:paraId="7AC73761">
      <w:pPr>
        <w:jc w:val="center"/>
        <w:rPr>
          <w:rFonts w:hint="eastAsia" w:ascii="黑体" w:hAnsi="黑体" w:eastAsia="黑体"/>
          <w:b/>
          <w:sz w:val="44"/>
        </w:rPr>
      </w:pPr>
      <w:r>
        <w:rPr>
          <w:rFonts w:hint="eastAsia" w:ascii="黑体" w:hAnsi="黑体" w:eastAsia="黑体"/>
          <w:b/>
          <w:sz w:val="44"/>
        </w:rPr>
        <w:t>2026年重庆县域学校AI+教育创新发展</w:t>
      </w:r>
    </w:p>
    <w:p w14:paraId="37FAD302">
      <w:pPr>
        <w:jc w:val="center"/>
      </w:pPr>
      <w:r>
        <w:rPr>
          <w:rFonts w:hint="eastAsia" w:ascii="黑体" w:hAnsi="黑体" w:eastAsia="黑体"/>
          <w:b/>
          <w:sz w:val="44"/>
        </w:rPr>
        <w:t>综合项目</w:t>
      </w:r>
    </w:p>
    <w:p w14:paraId="5C842F44"/>
    <w:p w14:paraId="67FF1693">
      <w:pPr>
        <w:jc w:val="center"/>
      </w:pPr>
      <w:r>
        <w:rPr>
          <w:rFonts w:ascii="黑体" w:hAnsi="黑体" w:eastAsia="黑体"/>
          <w:b/>
          <w:sz w:val="72"/>
        </w:rPr>
        <w:t>比 选 文 件</w:t>
      </w:r>
    </w:p>
    <w:p w14:paraId="29BBD21E"/>
    <w:p w14:paraId="28E9147F"/>
    <w:p w14:paraId="73249F7A"/>
    <w:p w14:paraId="5BB56D25"/>
    <w:p w14:paraId="4AE0A1D2"/>
    <w:p w14:paraId="4FB7344A"/>
    <w:p w14:paraId="6DA2394C">
      <w:pPr>
        <w:jc w:val="center"/>
      </w:pPr>
      <w:r>
        <w:rPr>
          <w:rFonts w:ascii="宋体" w:hAnsi="宋体" w:eastAsia="宋体"/>
          <w:b w:val="0"/>
          <w:sz w:val="28"/>
        </w:rPr>
        <w:t>比选单位：北京师大励耘教育科技发展集团有限公司</w:t>
      </w:r>
    </w:p>
    <w:p w14:paraId="5AE0DA95">
      <w:pPr>
        <w:jc w:val="center"/>
      </w:pPr>
      <w:r>
        <w:rPr>
          <w:rFonts w:ascii="宋体" w:hAnsi="宋体" w:eastAsia="宋体"/>
          <w:b w:val="0"/>
          <w:sz w:val="28"/>
        </w:rPr>
        <w:t xml:space="preserve">二〇二六年 </w:t>
      </w:r>
      <w:r>
        <w:rPr>
          <w:rFonts w:hint="eastAsia"/>
          <w:b w:val="0"/>
          <w:sz w:val="28"/>
          <w:lang w:val="en-US" w:eastAsia="zh-CN"/>
        </w:rPr>
        <w:t>七</w:t>
      </w:r>
      <w:r>
        <w:rPr>
          <w:rFonts w:ascii="宋体" w:hAnsi="宋体" w:eastAsia="宋体"/>
          <w:b w:val="0"/>
          <w:sz w:val="28"/>
        </w:rPr>
        <w:t xml:space="preserve"> 月</w:t>
      </w:r>
    </w:p>
    <w:p w14:paraId="35ACB080">
      <w:r>
        <w:br w:type="page"/>
      </w:r>
    </w:p>
    <w:p w14:paraId="196C5507">
      <w:pPr>
        <w:jc w:val="center"/>
      </w:pPr>
      <w:r>
        <w:rPr>
          <w:rFonts w:ascii="黑体" w:hAnsi="黑体" w:eastAsia="黑体"/>
          <w:b/>
          <w:sz w:val="36"/>
        </w:rPr>
        <w:t>目  录</w:t>
      </w:r>
    </w:p>
    <w:p w14:paraId="4BA0E521"/>
    <w:p w14:paraId="315033C4">
      <w:pPr>
        <w:spacing w:after="80"/>
      </w:pPr>
      <w:r>
        <w:rPr>
          <w:rFonts w:ascii="宋体" w:hAnsi="宋体" w:eastAsia="宋体"/>
          <w:b w:val="0"/>
          <w:sz w:val="24"/>
        </w:rPr>
        <w:t>一、比选</w:t>
      </w:r>
      <w:r>
        <w:rPr>
          <w:rFonts w:hint="eastAsia"/>
          <w:b w:val="0"/>
          <w:sz w:val="24"/>
          <w:lang w:val="en-US" w:eastAsia="zh-CN"/>
        </w:rPr>
        <w:t>公告</w:t>
      </w:r>
    </w:p>
    <w:p w14:paraId="7ECF16A1">
      <w:pPr>
        <w:spacing w:after="80"/>
      </w:pPr>
      <w:r>
        <w:rPr>
          <w:rFonts w:ascii="宋体" w:hAnsi="宋体" w:eastAsia="宋体"/>
          <w:b w:val="0"/>
          <w:sz w:val="24"/>
        </w:rPr>
        <w:t>二、响应文件须知</w:t>
      </w:r>
    </w:p>
    <w:p w14:paraId="48A8C1C3">
      <w:pPr>
        <w:spacing w:after="80"/>
      </w:pPr>
      <w:r>
        <w:rPr>
          <w:rFonts w:ascii="宋体" w:hAnsi="宋体" w:eastAsia="宋体"/>
          <w:b w:val="0"/>
          <w:sz w:val="24"/>
        </w:rPr>
        <w:t>三、比选程序</w:t>
      </w:r>
    </w:p>
    <w:p w14:paraId="07658622">
      <w:pPr>
        <w:spacing w:after="80"/>
      </w:pPr>
      <w:r>
        <w:rPr>
          <w:rFonts w:ascii="宋体" w:hAnsi="宋体" w:eastAsia="宋体"/>
          <w:b w:val="0"/>
          <w:sz w:val="24"/>
        </w:rPr>
        <w:t>四、</w:t>
      </w:r>
      <w:r>
        <w:rPr>
          <w:rFonts w:hint="eastAsia"/>
          <w:b w:val="0"/>
          <w:sz w:val="24"/>
          <w:lang w:val="en-US" w:eastAsia="zh-CN"/>
        </w:rPr>
        <w:t>服务</w:t>
      </w:r>
      <w:r>
        <w:rPr>
          <w:rFonts w:ascii="宋体" w:hAnsi="宋体" w:eastAsia="宋体"/>
          <w:b w:val="0"/>
          <w:sz w:val="24"/>
        </w:rPr>
        <w:t>需求</w:t>
      </w:r>
    </w:p>
    <w:p w14:paraId="38BB38AA">
      <w:pPr>
        <w:spacing w:after="80"/>
      </w:pPr>
      <w:r>
        <w:rPr>
          <w:rFonts w:ascii="宋体" w:hAnsi="宋体" w:eastAsia="宋体"/>
          <w:b w:val="0"/>
          <w:sz w:val="24"/>
        </w:rPr>
        <w:t>五、评定成交标准</w:t>
      </w:r>
    </w:p>
    <w:p w14:paraId="6DE27FEA">
      <w:pPr>
        <w:spacing w:after="80"/>
        <w:rPr>
          <w:rFonts w:hint="eastAsia" w:eastAsia="宋体"/>
          <w:lang w:eastAsia="zh-CN"/>
        </w:rPr>
      </w:pPr>
      <w:r>
        <w:rPr>
          <w:rFonts w:ascii="宋体" w:hAnsi="宋体" w:eastAsia="宋体"/>
          <w:b w:val="0"/>
          <w:sz w:val="24"/>
        </w:rPr>
        <w:t>六、</w:t>
      </w:r>
      <w:r>
        <w:rPr>
          <w:rFonts w:hint="eastAsia"/>
          <w:b w:val="0"/>
          <w:sz w:val="24"/>
          <w:lang w:val="en-US" w:eastAsia="zh-CN"/>
        </w:rPr>
        <w:t>服务</w:t>
      </w:r>
      <w:r>
        <w:rPr>
          <w:rFonts w:ascii="宋体" w:hAnsi="宋体" w:eastAsia="宋体"/>
          <w:b w:val="0"/>
          <w:sz w:val="24"/>
        </w:rPr>
        <w:t>合同</w:t>
      </w:r>
      <w:r>
        <w:rPr>
          <w:rFonts w:hint="eastAsia"/>
          <w:b w:val="0"/>
          <w:sz w:val="24"/>
          <w:lang w:val="en-US" w:eastAsia="zh-CN"/>
        </w:rPr>
        <w:t>模板</w:t>
      </w:r>
    </w:p>
    <w:p w14:paraId="00C0044B">
      <w:pPr>
        <w:spacing w:after="80"/>
      </w:pPr>
      <w:r>
        <w:rPr>
          <w:rFonts w:ascii="宋体" w:hAnsi="宋体" w:eastAsia="宋体"/>
          <w:b w:val="0"/>
          <w:sz w:val="24"/>
        </w:rPr>
        <w:t>七、响应文件格式</w:t>
      </w:r>
    </w:p>
    <w:p w14:paraId="1DD796C7">
      <w:pPr>
        <w:spacing w:after="80"/>
      </w:pPr>
      <w:r>
        <w:rPr>
          <w:rFonts w:ascii="宋体" w:hAnsi="宋体" w:eastAsia="宋体"/>
          <w:b w:val="0"/>
          <w:sz w:val="24"/>
        </w:rPr>
        <w:t xml:space="preserve">    表1  法定代表人授权书(格式)</w:t>
      </w:r>
    </w:p>
    <w:p w14:paraId="6593A9AE">
      <w:pPr>
        <w:spacing w:after="80"/>
      </w:pPr>
      <w:r>
        <w:rPr>
          <w:rFonts w:ascii="宋体" w:hAnsi="宋体" w:eastAsia="宋体"/>
          <w:b w:val="0"/>
          <w:sz w:val="24"/>
        </w:rPr>
        <w:t xml:space="preserve">    表2  无重大违法记录承诺书(格式)</w:t>
      </w:r>
    </w:p>
    <w:p w14:paraId="5909B971">
      <w:pPr>
        <w:spacing w:after="80"/>
      </w:pPr>
      <w:r>
        <w:rPr>
          <w:rFonts w:ascii="宋体" w:hAnsi="宋体" w:eastAsia="宋体"/>
          <w:b w:val="0"/>
          <w:sz w:val="24"/>
        </w:rPr>
        <w:t xml:space="preserve">    表3  营业执照副本复印件</w:t>
      </w:r>
    </w:p>
    <w:p w14:paraId="7BFEA125">
      <w:pPr>
        <w:spacing w:after="80"/>
      </w:pPr>
      <w:r>
        <w:rPr>
          <w:rFonts w:ascii="宋体" w:hAnsi="宋体" w:eastAsia="宋体"/>
          <w:b w:val="0"/>
          <w:sz w:val="24"/>
        </w:rPr>
        <w:t xml:space="preserve">    表4  信用信息公示报告</w:t>
      </w:r>
    </w:p>
    <w:p w14:paraId="706F5170">
      <w:pPr>
        <w:spacing w:after="80"/>
      </w:pPr>
      <w:r>
        <w:rPr>
          <w:rFonts w:ascii="宋体" w:hAnsi="宋体" w:eastAsia="宋体"/>
          <w:b w:val="0"/>
          <w:sz w:val="24"/>
        </w:rPr>
        <w:t xml:space="preserve">    表5  旅行社业务经营许可证复印件</w:t>
      </w:r>
    </w:p>
    <w:p w14:paraId="1209B1B8">
      <w:pPr>
        <w:spacing w:after="80"/>
        <w:ind w:firstLine="480"/>
        <w:rPr>
          <w:rFonts w:hint="eastAsia" w:ascii="宋体" w:hAnsi="宋体" w:eastAsia="宋体"/>
          <w:b w:val="0"/>
          <w:sz w:val="24"/>
        </w:rPr>
      </w:pPr>
      <w:r>
        <w:rPr>
          <w:rFonts w:ascii="宋体" w:hAnsi="宋体" w:eastAsia="宋体"/>
          <w:b w:val="0"/>
          <w:sz w:val="24"/>
        </w:rPr>
        <w:t xml:space="preserve">表6  </w:t>
      </w:r>
      <w:r>
        <w:rPr>
          <w:rFonts w:hint="eastAsia" w:ascii="宋体" w:hAnsi="宋体" w:eastAsia="宋体"/>
          <w:b w:val="0"/>
          <w:sz w:val="24"/>
        </w:rPr>
        <w:t>无关联关系承诺函</w:t>
      </w:r>
    </w:p>
    <w:p w14:paraId="61FCBD19">
      <w:pPr>
        <w:spacing w:after="80"/>
        <w:ind w:firstLine="480"/>
        <w:rPr>
          <w:rFonts w:hint="eastAsia" w:ascii="宋体" w:hAnsi="宋体" w:eastAsia="宋体"/>
          <w:b w:val="0"/>
          <w:sz w:val="24"/>
        </w:rPr>
      </w:pPr>
      <w:r>
        <w:rPr>
          <w:rFonts w:hint="eastAsia"/>
          <w:b w:val="0"/>
          <w:sz w:val="24"/>
          <w:lang w:val="en-US" w:eastAsia="zh-CN"/>
        </w:rPr>
        <w:t>表</w:t>
      </w:r>
      <w:r>
        <w:rPr>
          <w:rFonts w:hint="eastAsia" w:ascii="宋体" w:hAnsi="宋体" w:eastAsia="宋体"/>
          <w:b w:val="0"/>
          <w:sz w:val="24"/>
        </w:rPr>
        <w:t>7</w:t>
      </w:r>
      <w:r>
        <w:rPr>
          <w:rFonts w:hint="eastAsia"/>
          <w:b w:val="0"/>
          <w:sz w:val="24"/>
          <w:lang w:val="en-US" w:eastAsia="zh-CN"/>
        </w:rPr>
        <w:t xml:space="preserve">  </w:t>
      </w:r>
      <w:r>
        <w:rPr>
          <w:rFonts w:hint="eastAsia" w:ascii="宋体" w:hAnsi="宋体" w:eastAsia="宋体"/>
          <w:b w:val="0"/>
          <w:sz w:val="24"/>
        </w:rPr>
        <w:t>近三年类似</w:t>
      </w:r>
      <w:r>
        <w:rPr>
          <w:rFonts w:hint="eastAsia"/>
          <w:b w:val="0"/>
          <w:sz w:val="24"/>
          <w:lang w:eastAsia="zh-CN"/>
        </w:rPr>
        <w:t>研修</w:t>
      </w:r>
      <w:r>
        <w:rPr>
          <w:rFonts w:hint="eastAsia" w:ascii="宋体" w:hAnsi="宋体" w:eastAsia="宋体"/>
          <w:b w:val="0"/>
          <w:sz w:val="24"/>
        </w:rPr>
        <w:t>项目业绩一览表</w:t>
      </w:r>
    </w:p>
    <w:p w14:paraId="57376D0C">
      <w:pPr>
        <w:spacing w:after="80"/>
        <w:ind w:firstLine="480"/>
        <w:rPr>
          <w:rFonts w:ascii="宋体" w:hAnsi="宋体" w:eastAsia="宋体"/>
          <w:b w:val="0"/>
          <w:sz w:val="24"/>
        </w:rPr>
      </w:pPr>
      <w:r>
        <w:rPr>
          <w:rFonts w:hint="eastAsia"/>
          <w:b w:val="0"/>
          <w:sz w:val="24"/>
          <w:lang w:val="en-US" w:eastAsia="zh-CN"/>
        </w:rPr>
        <w:t>表</w:t>
      </w:r>
      <w:r>
        <w:rPr>
          <w:rFonts w:hint="eastAsia" w:ascii="宋体" w:hAnsi="宋体" w:eastAsia="宋体"/>
          <w:b w:val="0"/>
          <w:sz w:val="24"/>
        </w:rPr>
        <w:t>8</w:t>
      </w:r>
      <w:r>
        <w:rPr>
          <w:rFonts w:hint="eastAsia"/>
          <w:b w:val="0"/>
          <w:sz w:val="24"/>
          <w:lang w:val="en-US" w:eastAsia="zh-CN"/>
        </w:rPr>
        <w:t xml:space="preserve">  </w:t>
      </w:r>
      <w:r>
        <w:rPr>
          <w:rFonts w:hint="eastAsia" w:ascii="宋体" w:hAnsi="宋体" w:eastAsia="宋体"/>
          <w:b w:val="0"/>
          <w:sz w:val="24"/>
        </w:rPr>
        <w:t>其他应比选人要求提供的证明材料</w:t>
      </w:r>
    </w:p>
    <w:p w14:paraId="7285FBF0">
      <w:r>
        <w:br w:type="page"/>
      </w:r>
    </w:p>
    <w:p w14:paraId="68D5C75C">
      <w:pPr>
        <w:jc w:val="center"/>
        <w:rPr>
          <w:rFonts w:hint="eastAsia" w:eastAsia="黑体"/>
          <w:lang w:val="en-US" w:eastAsia="zh-CN"/>
        </w:rPr>
      </w:pPr>
      <w:r>
        <w:rPr>
          <w:rFonts w:ascii="黑体" w:hAnsi="黑体" w:eastAsia="黑体"/>
          <w:b/>
          <w:sz w:val="32"/>
        </w:rPr>
        <w:t>一、比选</w:t>
      </w:r>
      <w:r>
        <w:rPr>
          <w:rFonts w:hint="eastAsia" w:ascii="黑体" w:hAnsi="黑体" w:eastAsia="黑体"/>
          <w:b/>
          <w:sz w:val="32"/>
          <w:lang w:val="en-US" w:eastAsia="zh-CN"/>
        </w:rPr>
        <w:t>公告</w:t>
      </w:r>
    </w:p>
    <w:p w14:paraId="5A81D604">
      <w:pPr>
        <w:adjustRightInd w:val="0"/>
        <w:snapToGrid w:val="0"/>
        <w:spacing w:after="80" w:line="360" w:lineRule="auto"/>
        <w:ind w:firstLine="420"/>
      </w:pPr>
      <w:r>
        <w:rPr>
          <w:rFonts w:ascii="宋体" w:hAnsi="宋体" w:eastAsia="宋体"/>
          <w:b w:val="0"/>
          <w:sz w:val="24"/>
        </w:rPr>
        <w:t>现北京师大励耘教育科技发展集团有限公司受</w:t>
      </w:r>
      <w:r>
        <w:rPr>
          <w:rFonts w:hint="eastAsia"/>
          <w:b w:val="0"/>
          <w:sz w:val="24"/>
          <w:lang w:val="en-US" w:eastAsia="zh-CN"/>
        </w:rPr>
        <w:t>合作方</w:t>
      </w:r>
      <w:r>
        <w:rPr>
          <w:rFonts w:ascii="宋体" w:hAnsi="宋体" w:eastAsia="宋体"/>
          <w:b w:val="0"/>
          <w:sz w:val="24"/>
        </w:rPr>
        <w:t>委托</w:t>
      </w:r>
      <w:r>
        <w:rPr>
          <w:rFonts w:hint="eastAsia"/>
          <w:b w:val="0"/>
          <w:sz w:val="24"/>
          <w:lang w:val="en-US" w:eastAsia="zh-CN"/>
        </w:rPr>
        <w:t>开展此次活动</w:t>
      </w:r>
      <w:r>
        <w:rPr>
          <w:rFonts w:ascii="宋体" w:hAnsi="宋体" w:eastAsia="宋体"/>
          <w:b w:val="0"/>
          <w:sz w:val="24"/>
        </w:rPr>
        <w:t>，通过比选的采购方式对"</w:t>
      </w:r>
      <w:r>
        <w:rPr>
          <w:rFonts w:hint="eastAsia" w:ascii="宋体" w:hAnsi="宋体" w:eastAsia="宋体"/>
          <w:b w:val="0"/>
          <w:sz w:val="24"/>
        </w:rPr>
        <w:t>2026年重庆县域学校AI+教育创新发展综合</w:t>
      </w:r>
      <w:r>
        <w:rPr>
          <w:rFonts w:ascii="宋体" w:hAnsi="宋体" w:eastAsia="宋体"/>
          <w:b w:val="0"/>
          <w:sz w:val="24"/>
        </w:rPr>
        <w:t>"项目进行采购，现邀请贵单位参加该项目的比选。</w:t>
      </w:r>
    </w:p>
    <w:p w14:paraId="32CABD42">
      <w:pPr>
        <w:adjustRightInd w:val="0"/>
        <w:snapToGrid w:val="0"/>
        <w:spacing w:line="360" w:lineRule="auto"/>
        <w:jc w:val="left"/>
      </w:pPr>
      <w:r>
        <w:rPr>
          <w:rFonts w:ascii="黑体" w:hAnsi="黑体" w:eastAsia="黑体"/>
          <w:b/>
          <w:sz w:val="28"/>
        </w:rPr>
        <w:t>（一）项目基本情况</w:t>
      </w:r>
    </w:p>
    <w:p w14:paraId="3A23EE8F">
      <w:pPr>
        <w:adjustRightInd w:val="0"/>
        <w:snapToGrid w:val="0"/>
        <w:spacing w:after="80" w:line="360" w:lineRule="auto"/>
      </w:pPr>
      <w:r>
        <w:rPr>
          <w:rFonts w:ascii="宋体" w:hAnsi="宋体" w:eastAsia="宋体"/>
          <w:b w:val="0"/>
          <w:sz w:val="24"/>
        </w:rPr>
        <w:t>1. 采购项目名称：</w:t>
      </w:r>
      <w:r>
        <w:rPr>
          <w:rFonts w:hint="eastAsia" w:ascii="宋体" w:hAnsi="宋体" w:eastAsia="宋体"/>
          <w:b w:val="0"/>
          <w:sz w:val="24"/>
        </w:rPr>
        <w:t>2026年重庆县域学校AI+教育创新发展综合项目</w:t>
      </w:r>
    </w:p>
    <w:p w14:paraId="4E2BFFCE">
      <w:pPr>
        <w:adjustRightInd w:val="0"/>
        <w:snapToGrid w:val="0"/>
        <w:spacing w:after="80" w:line="360" w:lineRule="auto"/>
      </w:pPr>
      <w:r>
        <w:rPr>
          <w:rFonts w:ascii="宋体" w:hAnsi="宋体" w:eastAsia="宋体"/>
          <w:b w:val="0"/>
          <w:sz w:val="24"/>
        </w:rPr>
        <w:t>2. 预算金额：</w:t>
      </w:r>
      <w:r>
        <w:rPr>
          <w:rFonts w:hint="eastAsia"/>
          <w:b w:val="0"/>
          <w:sz w:val="24"/>
          <w:lang w:val="en-US" w:eastAsia="zh-CN"/>
        </w:rPr>
        <w:t>50万元以内</w:t>
      </w:r>
      <w:r>
        <w:rPr>
          <w:rFonts w:ascii="宋体" w:hAnsi="宋体" w:eastAsia="宋体"/>
          <w:b w:val="0"/>
          <w:sz w:val="24"/>
        </w:rPr>
        <w:t>（人民币）</w:t>
      </w:r>
    </w:p>
    <w:p w14:paraId="06CB6102">
      <w:pPr>
        <w:adjustRightInd w:val="0"/>
        <w:snapToGrid w:val="0"/>
        <w:spacing w:after="80" w:line="360" w:lineRule="auto"/>
        <w:rPr>
          <w:rFonts w:hint="default" w:eastAsia="宋体"/>
          <w:lang w:val="en-US" w:eastAsia="zh-CN"/>
        </w:rPr>
      </w:pPr>
      <w:r>
        <w:rPr>
          <w:rFonts w:ascii="宋体" w:hAnsi="宋体" w:eastAsia="宋体"/>
          <w:b w:val="0"/>
          <w:sz w:val="24"/>
        </w:rPr>
        <w:t>3. 领取比选文件时间：</w:t>
      </w:r>
      <w:r>
        <w:rPr>
          <w:rFonts w:hint="eastAsia"/>
          <w:b w:val="0"/>
          <w:sz w:val="24"/>
          <w:lang w:val="en-US" w:eastAsia="zh-CN"/>
        </w:rPr>
        <w:t>2026</w:t>
      </w:r>
      <w:r>
        <w:rPr>
          <w:rFonts w:ascii="宋体" w:hAnsi="宋体" w:eastAsia="宋体"/>
          <w:b w:val="0"/>
          <w:sz w:val="24"/>
        </w:rPr>
        <w:t>年</w:t>
      </w:r>
      <w:r>
        <w:rPr>
          <w:rFonts w:hint="eastAsia"/>
          <w:b w:val="0"/>
          <w:sz w:val="24"/>
          <w:lang w:val="en-US" w:eastAsia="zh-CN"/>
        </w:rPr>
        <w:t>7</w:t>
      </w:r>
      <w:r>
        <w:rPr>
          <w:rFonts w:ascii="宋体" w:hAnsi="宋体" w:eastAsia="宋体"/>
          <w:b w:val="0"/>
          <w:sz w:val="24"/>
        </w:rPr>
        <w:t>月</w:t>
      </w:r>
      <w:r>
        <w:rPr>
          <w:rFonts w:hint="eastAsia"/>
          <w:b w:val="0"/>
          <w:sz w:val="24"/>
          <w:lang w:val="en-US" w:eastAsia="zh-CN"/>
        </w:rPr>
        <w:t>9</w:t>
      </w:r>
      <w:r>
        <w:rPr>
          <w:rFonts w:ascii="宋体" w:hAnsi="宋体" w:eastAsia="宋体"/>
          <w:b w:val="0"/>
          <w:sz w:val="24"/>
        </w:rPr>
        <w:t>日至</w:t>
      </w:r>
      <w:r>
        <w:rPr>
          <w:rFonts w:hint="eastAsia"/>
          <w:b w:val="0"/>
          <w:sz w:val="24"/>
          <w:lang w:val="en-US" w:eastAsia="zh-CN"/>
        </w:rPr>
        <w:t>2026</w:t>
      </w:r>
      <w:r>
        <w:rPr>
          <w:rFonts w:ascii="宋体" w:hAnsi="宋体" w:eastAsia="宋体"/>
          <w:b w:val="0"/>
          <w:sz w:val="24"/>
        </w:rPr>
        <w:t>年</w:t>
      </w:r>
      <w:r>
        <w:rPr>
          <w:rFonts w:hint="eastAsia"/>
          <w:b w:val="0"/>
          <w:sz w:val="24"/>
          <w:lang w:val="en-US" w:eastAsia="zh-CN"/>
        </w:rPr>
        <w:t>7</w:t>
      </w:r>
      <w:r>
        <w:rPr>
          <w:rFonts w:ascii="宋体" w:hAnsi="宋体" w:eastAsia="宋体"/>
          <w:b w:val="0"/>
          <w:sz w:val="24"/>
        </w:rPr>
        <w:t>月</w:t>
      </w:r>
      <w:r>
        <w:rPr>
          <w:rFonts w:hint="eastAsia"/>
          <w:b w:val="0"/>
          <w:sz w:val="24"/>
          <w:lang w:val="en-US" w:eastAsia="zh-CN"/>
        </w:rPr>
        <w:t>14</w:t>
      </w:r>
      <w:r>
        <w:rPr>
          <w:rFonts w:ascii="宋体" w:hAnsi="宋体" w:eastAsia="宋体"/>
          <w:b w:val="0"/>
          <w:sz w:val="24"/>
        </w:rPr>
        <w:t>日</w:t>
      </w:r>
      <w:r>
        <w:rPr>
          <w:rFonts w:hint="eastAsia"/>
          <w:b w:val="0"/>
          <w:sz w:val="24"/>
          <w:lang w:val="en-US" w:eastAsia="zh-CN"/>
        </w:rPr>
        <w:t>18点整（线上领取）</w:t>
      </w:r>
    </w:p>
    <w:p w14:paraId="5C28E297">
      <w:pPr>
        <w:adjustRightInd w:val="0"/>
        <w:snapToGrid w:val="0"/>
        <w:spacing w:after="80" w:line="360" w:lineRule="auto"/>
      </w:pPr>
      <w:r>
        <w:rPr>
          <w:rFonts w:ascii="宋体" w:hAnsi="宋体" w:eastAsia="宋体"/>
          <w:b w:val="0"/>
          <w:sz w:val="24"/>
        </w:rPr>
        <w:t>4. 投标截止/开标时间：</w:t>
      </w:r>
      <w:r>
        <w:rPr>
          <w:rFonts w:hint="eastAsia"/>
          <w:b w:val="0"/>
          <w:sz w:val="24"/>
          <w:lang w:val="en-US" w:eastAsia="zh-CN"/>
        </w:rPr>
        <w:t>2026</w:t>
      </w:r>
      <w:r>
        <w:rPr>
          <w:rFonts w:ascii="宋体" w:hAnsi="宋体" w:eastAsia="宋体"/>
          <w:b w:val="0"/>
          <w:sz w:val="24"/>
        </w:rPr>
        <w:t>年</w:t>
      </w:r>
      <w:r>
        <w:rPr>
          <w:rFonts w:hint="eastAsia"/>
          <w:b w:val="0"/>
          <w:sz w:val="24"/>
          <w:lang w:val="en-US" w:eastAsia="zh-CN"/>
        </w:rPr>
        <w:t>7</w:t>
      </w:r>
      <w:r>
        <w:rPr>
          <w:rFonts w:ascii="宋体" w:hAnsi="宋体" w:eastAsia="宋体"/>
          <w:b w:val="0"/>
          <w:sz w:val="24"/>
        </w:rPr>
        <w:t>月</w:t>
      </w:r>
      <w:r>
        <w:rPr>
          <w:rFonts w:hint="eastAsia"/>
          <w:b w:val="0"/>
          <w:sz w:val="24"/>
          <w:lang w:val="en-US" w:eastAsia="zh-CN"/>
        </w:rPr>
        <w:t>15</w:t>
      </w:r>
      <w:r>
        <w:rPr>
          <w:rFonts w:ascii="宋体" w:hAnsi="宋体" w:eastAsia="宋体"/>
          <w:b w:val="0"/>
          <w:sz w:val="24"/>
        </w:rPr>
        <w:t>日</w:t>
      </w:r>
      <w:r>
        <w:rPr>
          <w:rFonts w:hint="eastAsia"/>
          <w:b w:val="0"/>
          <w:sz w:val="24"/>
          <w:lang w:val="en-US" w:eastAsia="zh-CN"/>
        </w:rPr>
        <w:t>9点整</w:t>
      </w:r>
      <w:r>
        <w:rPr>
          <w:rFonts w:ascii="宋体" w:hAnsi="宋体" w:eastAsia="宋体"/>
          <w:b w:val="0"/>
          <w:sz w:val="24"/>
        </w:rPr>
        <w:t>，逾期收到或不符合规定的投标文件恕不接受。</w:t>
      </w:r>
    </w:p>
    <w:p w14:paraId="343C69BF">
      <w:pPr>
        <w:adjustRightInd w:val="0"/>
        <w:snapToGrid w:val="0"/>
        <w:spacing w:after="80" w:line="360" w:lineRule="auto"/>
        <w:rPr>
          <w:rFonts w:hint="eastAsia" w:eastAsia="宋体"/>
          <w:lang w:eastAsia="zh-CN"/>
        </w:rPr>
      </w:pPr>
      <w:r>
        <w:rPr>
          <w:rFonts w:ascii="宋体" w:hAnsi="宋体" w:eastAsia="宋体"/>
          <w:b w:val="0"/>
          <w:sz w:val="24"/>
        </w:rPr>
        <w:t>5. 投标/开标地点：北京市</w:t>
      </w:r>
      <w:r>
        <w:rPr>
          <w:rFonts w:hint="eastAsia" w:ascii="宋体" w:hAnsi="宋体" w:eastAsia="宋体"/>
          <w:b w:val="0"/>
          <w:sz w:val="24"/>
        </w:rPr>
        <w:t>海淀区文慧园北路8号</w:t>
      </w:r>
      <w:r>
        <w:rPr>
          <w:rFonts w:hint="eastAsia"/>
          <w:b w:val="0"/>
          <w:sz w:val="24"/>
          <w:lang w:eastAsia="zh-CN"/>
        </w:rPr>
        <w:t>庆亚大厦A座2层</w:t>
      </w:r>
    </w:p>
    <w:p w14:paraId="7BBD288B">
      <w:pPr>
        <w:adjustRightInd w:val="0"/>
        <w:snapToGrid w:val="0"/>
        <w:spacing w:after="80" w:line="360" w:lineRule="auto"/>
        <w:rPr>
          <w:rFonts w:hint="default" w:eastAsia="宋体"/>
          <w:lang w:val="en-US" w:eastAsia="zh-CN"/>
        </w:rPr>
      </w:pPr>
      <w:r>
        <w:rPr>
          <w:rFonts w:ascii="宋体" w:hAnsi="宋体" w:eastAsia="宋体"/>
          <w:b w:val="0"/>
          <w:sz w:val="24"/>
        </w:rPr>
        <w:t>6. 合同履行期限：2026年7月18日至2026年7月</w:t>
      </w:r>
      <w:r>
        <w:rPr>
          <w:rFonts w:hint="eastAsia"/>
          <w:b w:val="0"/>
          <w:sz w:val="24"/>
          <w:lang w:val="en-US" w:eastAsia="zh-CN"/>
        </w:rPr>
        <w:t>28</w:t>
      </w:r>
      <w:r>
        <w:rPr>
          <w:rFonts w:ascii="宋体" w:hAnsi="宋体" w:eastAsia="宋体"/>
          <w:b w:val="0"/>
          <w:sz w:val="24"/>
        </w:rPr>
        <w:t>日</w:t>
      </w:r>
      <w:r>
        <w:rPr>
          <w:rFonts w:hint="eastAsia"/>
          <w:b w:val="0"/>
          <w:sz w:val="24"/>
          <w:lang w:eastAsia="zh-CN"/>
        </w:rPr>
        <w:t>（</w:t>
      </w:r>
      <w:r>
        <w:rPr>
          <w:rFonts w:hint="eastAsia"/>
          <w:b w:val="0"/>
          <w:sz w:val="24"/>
          <w:lang w:val="en-US" w:eastAsia="zh-CN"/>
        </w:rPr>
        <w:t>暂定）</w:t>
      </w:r>
    </w:p>
    <w:p w14:paraId="4D35B304">
      <w:pPr>
        <w:adjustRightInd w:val="0"/>
        <w:snapToGrid w:val="0"/>
        <w:spacing w:line="360" w:lineRule="auto"/>
        <w:jc w:val="left"/>
      </w:pPr>
      <w:r>
        <w:rPr>
          <w:rFonts w:ascii="黑体" w:hAnsi="黑体" w:eastAsia="黑体"/>
          <w:b/>
          <w:sz w:val="28"/>
        </w:rPr>
        <w:t>（二）投标人的资格要求</w:t>
      </w:r>
    </w:p>
    <w:p w14:paraId="1470C39C">
      <w:pPr>
        <w:adjustRightInd w:val="0"/>
        <w:snapToGrid w:val="0"/>
        <w:spacing w:after="80" w:line="360" w:lineRule="auto"/>
        <w:jc w:val="both"/>
      </w:pPr>
      <w:r>
        <w:rPr>
          <w:rFonts w:ascii="宋体" w:hAnsi="宋体" w:eastAsia="宋体"/>
          <w:b w:val="0"/>
          <w:sz w:val="24"/>
        </w:rPr>
        <w:t>1. 满足《中华人民共和国政府采购法》第二十二条规定，即：</w:t>
      </w:r>
    </w:p>
    <w:p w14:paraId="348D2519">
      <w:pPr>
        <w:adjustRightInd w:val="0"/>
        <w:snapToGrid w:val="0"/>
        <w:spacing w:after="80" w:line="360" w:lineRule="auto"/>
        <w:jc w:val="both"/>
      </w:pPr>
      <w:r>
        <w:rPr>
          <w:rFonts w:ascii="宋体" w:hAnsi="宋体" w:eastAsia="宋体"/>
          <w:b w:val="0"/>
          <w:sz w:val="24"/>
        </w:rPr>
        <w:t>（1）具有独立承担民事责任的能力；</w:t>
      </w:r>
    </w:p>
    <w:p w14:paraId="5A0B30E8">
      <w:pPr>
        <w:adjustRightInd w:val="0"/>
        <w:snapToGrid w:val="0"/>
        <w:spacing w:after="80" w:line="360" w:lineRule="auto"/>
        <w:jc w:val="both"/>
      </w:pPr>
      <w:r>
        <w:rPr>
          <w:rFonts w:ascii="宋体" w:hAnsi="宋体" w:eastAsia="宋体"/>
          <w:b w:val="0"/>
          <w:sz w:val="24"/>
        </w:rPr>
        <w:t>（2）具有良好的商业信誉和健全的财务会计制度；</w:t>
      </w:r>
    </w:p>
    <w:p w14:paraId="60215934">
      <w:pPr>
        <w:adjustRightInd w:val="0"/>
        <w:snapToGrid w:val="0"/>
        <w:spacing w:after="80" w:line="360" w:lineRule="auto"/>
        <w:jc w:val="both"/>
      </w:pPr>
      <w:r>
        <w:rPr>
          <w:rFonts w:ascii="宋体" w:hAnsi="宋体" w:eastAsia="宋体"/>
          <w:b w:val="0"/>
          <w:sz w:val="24"/>
        </w:rPr>
        <w:t>（3）具有履行合同所必需的设备和专业技术能力；</w:t>
      </w:r>
    </w:p>
    <w:p w14:paraId="3FEF0470">
      <w:pPr>
        <w:adjustRightInd w:val="0"/>
        <w:snapToGrid w:val="0"/>
        <w:spacing w:after="80" w:line="360" w:lineRule="auto"/>
        <w:jc w:val="both"/>
      </w:pPr>
      <w:r>
        <w:rPr>
          <w:rFonts w:ascii="宋体" w:hAnsi="宋体" w:eastAsia="宋体"/>
          <w:b w:val="0"/>
          <w:sz w:val="24"/>
        </w:rPr>
        <w:t>（4）有依法缴纳税收和社会保障资金的良好记录；</w:t>
      </w:r>
    </w:p>
    <w:p w14:paraId="032665B5">
      <w:pPr>
        <w:adjustRightInd w:val="0"/>
        <w:snapToGrid w:val="0"/>
        <w:spacing w:after="80" w:line="360" w:lineRule="auto"/>
        <w:jc w:val="both"/>
      </w:pPr>
      <w:r>
        <w:rPr>
          <w:rFonts w:ascii="宋体" w:hAnsi="宋体" w:eastAsia="宋体"/>
          <w:b w:val="0"/>
          <w:sz w:val="24"/>
        </w:rPr>
        <w:t>（5）参加政府采购活动前三年内，在经营活动中没有重大违法记录；</w:t>
      </w:r>
    </w:p>
    <w:p w14:paraId="1EA2A5F3">
      <w:pPr>
        <w:adjustRightInd w:val="0"/>
        <w:snapToGrid w:val="0"/>
        <w:spacing w:after="80" w:line="360" w:lineRule="auto"/>
        <w:jc w:val="both"/>
      </w:pPr>
      <w:r>
        <w:rPr>
          <w:rFonts w:ascii="宋体" w:hAnsi="宋体" w:eastAsia="宋体"/>
          <w:b w:val="0"/>
          <w:sz w:val="24"/>
        </w:rPr>
        <w:t>（6）法律、行政法规规定的其他条件。</w:t>
      </w:r>
    </w:p>
    <w:p w14:paraId="638D8EC9">
      <w:pPr>
        <w:adjustRightInd w:val="0"/>
        <w:snapToGrid w:val="0"/>
        <w:spacing w:after="80" w:line="360" w:lineRule="auto"/>
        <w:jc w:val="both"/>
      </w:pPr>
      <w:r>
        <w:rPr>
          <w:rFonts w:ascii="宋体" w:hAnsi="宋体" w:eastAsia="宋体"/>
          <w:b w:val="0"/>
          <w:sz w:val="24"/>
        </w:rPr>
        <w:t>2. 供应商的工商营业执照合格有效；在"信用中国"网站（www.creditchina.gov.cn）和中国政府采购网（www.ccgp.gov.cn）上未被列入失信被执行人、重大税收违法案件当事人名单、政府采购严重违法失信行为记录名单等不良行为记录。</w:t>
      </w:r>
    </w:p>
    <w:p w14:paraId="1A80A298">
      <w:pPr>
        <w:adjustRightInd w:val="0"/>
        <w:snapToGrid w:val="0"/>
        <w:spacing w:after="80" w:line="360" w:lineRule="auto"/>
      </w:pPr>
      <w:r>
        <w:rPr>
          <w:rFonts w:ascii="宋体" w:hAnsi="宋体" w:eastAsia="宋体"/>
          <w:b/>
          <w:sz w:val="24"/>
        </w:rPr>
        <w:t>3. 特定资格要求：</w:t>
      </w:r>
    </w:p>
    <w:p w14:paraId="5A6DB705">
      <w:pPr>
        <w:adjustRightInd w:val="0"/>
        <w:snapToGrid w:val="0"/>
        <w:spacing w:after="80" w:line="360" w:lineRule="auto"/>
        <w:ind w:firstLine="480" w:firstLineChars="200"/>
        <w:rPr>
          <w:rFonts w:hint="eastAsia" w:eastAsia="宋体"/>
          <w:lang w:eastAsia="zh-CN"/>
        </w:rPr>
      </w:pPr>
      <w:r>
        <w:rPr>
          <w:rFonts w:ascii="宋体" w:hAnsi="宋体" w:eastAsia="宋体"/>
          <w:b w:val="0"/>
          <w:sz w:val="24"/>
        </w:rPr>
        <w:t>投标人必须持有有效的《旅行社业务经营许可证》（须提供证书复印件并加盖公章）</w:t>
      </w:r>
      <w:r>
        <w:rPr>
          <w:rFonts w:hint="eastAsia"/>
          <w:b w:val="0"/>
          <w:sz w:val="24"/>
          <w:lang w:eastAsia="zh-CN"/>
        </w:rPr>
        <w:t>。</w:t>
      </w:r>
    </w:p>
    <w:p w14:paraId="4D31AC06">
      <w:pPr>
        <w:adjustRightInd w:val="0"/>
        <w:snapToGrid w:val="0"/>
        <w:spacing w:line="360" w:lineRule="auto"/>
        <w:jc w:val="left"/>
      </w:pPr>
      <w:r>
        <w:rPr>
          <w:rFonts w:ascii="黑体" w:hAnsi="黑体" w:eastAsia="黑体"/>
          <w:b/>
          <w:sz w:val="28"/>
        </w:rPr>
        <w:t>（三）凡对本次采购提出询问，请按以下方式联系</w:t>
      </w:r>
    </w:p>
    <w:p w14:paraId="606431BE">
      <w:pPr>
        <w:adjustRightInd w:val="0"/>
        <w:snapToGrid w:val="0"/>
        <w:spacing w:after="80" w:line="360" w:lineRule="auto"/>
      </w:pPr>
      <w:r>
        <w:rPr>
          <w:rFonts w:ascii="宋体" w:hAnsi="宋体" w:eastAsia="宋体"/>
          <w:b w:val="0"/>
          <w:sz w:val="24"/>
        </w:rPr>
        <w:t>采购人：北京师大励耘教育科技发展集团有限公司</w:t>
      </w:r>
    </w:p>
    <w:p w14:paraId="37019E79">
      <w:pPr>
        <w:adjustRightInd w:val="0"/>
        <w:snapToGrid w:val="0"/>
        <w:spacing w:after="80" w:line="360" w:lineRule="auto"/>
        <w:rPr>
          <w:rFonts w:hint="default"/>
          <w:b w:val="0"/>
          <w:sz w:val="24"/>
          <w:lang w:val="en-US" w:eastAsia="zh-CN"/>
        </w:rPr>
      </w:pPr>
      <w:r>
        <w:rPr>
          <w:rFonts w:ascii="宋体" w:hAnsi="宋体" w:eastAsia="宋体"/>
          <w:b w:val="0"/>
          <w:sz w:val="24"/>
        </w:rPr>
        <w:t>地址：北京市</w:t>
      </w:r>
      <w:r>
        <w:rPr>
          <w:rFonts w:hint="eastAsia" w:ascii="宋体" w:hAnsi="宋体" w:eastAsia="宋体"/>
          <w:b w:val="0"/>
          <w:sz w:val="24"/>
        </w:rPr>
        <w:t>海淀区文慧园北路8号</w:t>
      </w:r>
      <w:r>
        <w:rPr>
          <w:rFonts w:hint="eastAsia"/>
          <w:b w:val="0"/>
          <w:sz w:val="24"/>
          <w:lang w:eastAsia="zh-CN"/>
        </w:rPr>
        <w:t>庆亚大厦A座2层</w:t>
      </w:r>
    </w:p>
    <w:p w14:paraId="1FAD3200">
      <w:pPr>
        <w:adjustRightInd w:val="0"/>
        <w:snapToGrid w:val="0"/>
        <w:spacing w:after="80" w:line="360" w:lineRule="auto"/>
        <w:rPr>
          <w:rFonts w:hint="default" w:eastAsia="宋体"/>
          <w:lang w:val="en-US" w:eastAsia="zh-CN"/>
        </w:rPr>
      </w:pPr>
      <w:r>
        <w:rPr>
          <w:rFonts w:ascii="宋体" w:hAnsi="宋体" w:eastAsia="宋体"/>
          <w:b w:val="0"/>
          <w:sz w:val="24"/>
        </w:rPr>
        <w:t>联系电话：</w:t>
      </w:r>
      <w:r>
        <w:rPr>
          <w:rFonts w:hint="eastAsia"/>
          <w:b w:val="0"/>
          <w:sz w:val="24"/>
          <w:lang w:val="en-US" w:eastAsia="zh-CN"/>
        </w:rPr>
        <w:t>17610186650</w:t>
      </w:r>
    </w:p>
    <w:p w14:paraId="0A910B1C">
      <w:pPr>
        <w:adjustRightInd w:val="0"/>
        <w:snapToGrid w:val="0"/>
        <w:spacing w:after="80" w:line="360" w:lineRule="auto"/>
        <w:rPr>
          <w:rFonts w:hint="eastAsia" w:eastAsia="宋体"/>
          <w:lang w:val="en-US" w:eastAsia="zh-CN"/>
        </w:rPr>
      </w:pPr>
      <w:r>
        <w:rPr>
          <w:rFonts w:ascii="宋体" w:hAnsi="宋体" w:eastAsia="宋体"/>
          <w:b w:val="0"/>
          <w:sz w:val="24"/>
        </w:rPr>
        <w:t>联系人：</w:t>
      </w:r>
      <w:r>
        <w:rPr>
          <w:rFonts w:hint="eastAsia"/>
          <w:b w:val="0"/>
          <w:sz w:val="24"/>
          <w:lang w:val="en-US" w:eastAsia="zh-CN"/>
        </w:rPr>
        <w:t>汪晨</w:t>
      </w:r>
    </w:p>
    <w:p w14:paraId="3DEDCAC0">
      <w:pPr>
        <w:adjustRightInd w:val="0"/>
        <w:snapToGrid w:val="0"/>
        <w:spacing w:line="360" w:lineRule="auto"/>
      </w:pPr>
      <w:r>
        <w:br w:type="page"/>
      </w:r>
    </w:p>
    <w:p w14:paraId="3A337D9A">
      <w:pPr>
        <w:jc w:val="center"/>
      </w:pPr>
      <w:r>
        <w:rPr>
          <w:rFonts w:ascii="黑体" w:hAnsi="黑体" w:eastAsia="黑体"/>
          <w:b/>
          <w:sz w:val="32"/>
        </w:rPr>
        <w:t>二、响应文件须知</w:t>
      </w:r>
    </w:p>
    <w:p w14:paraId="577B8DFD">
      <w:pPr>
        <w:spacing w:after="80" w:line="400" w:lineRule="exact"/>
      </w:pPr>
      <w:r>
        <w:rPr>
          <w:rFonts w:ascii="宋体" w:hAnsi="宋体" w:eastAsia="宋体"/>
          <w:b/>
          <w:sz w:val="24"/>
        </w:rPr>
        <w:t>1. 响应文件的密封和标记：</w:t>
      </w:r>
    </w:p>
    <w:p w14:paraId="67DB87B6">
      <w:pPr>
        <w:spacing w:after="80" w:line="400" w:lineRule="exact"/>
      </w:pPr>
      <w:r>
        <w:rPr>
          <w:rFonts w:ascii="宋体" w:hAnsi="宋体" w:eastAsia="宋体"/>
          <w:b w:val="0"/>
          <w:sz w:val="24"/>
        </w:rPr>
        <w:t>1.1 响应文件要求采用A4纸张，所有文件成册分别装订。</w:t>
      </w:r>
    </w:p>
    <w:p w14:paraId="5715841A">
      <w:pPr>
        <w:spacing w:after="80" w:line="400" w:lineRule="exact"/>
      </w:pPr>
      <w:r>
        <w:rPr>
          <w:rFonts w:ascii="宋体" w:hAnsi="宋体" w:eastAsia="宋体"/>
          <w:b w:val="0"/>
          <w:sz w:val="24"/>
        </w:rPr>
        <w:t>1.2 参选人应将响应文件分别装袋密封，密封处加盖参选人公章。</w:t>
      </w:r>
    </w:p>
    <w:p w14:paraId="1E08D5BF">
      <w:pPr>
        <w:spacing w:after="80" w:line="400" w:lineRule="exact"/>
      </w:pPr>
      <w:r>
        <w:rPr>
          <w:rFonts w:ascii="宋体" w:hAnsi="宋体" w:eastAsia="宋体"/>
          <w:b w:val="0"/>
          <w:sz w:val="24"/>
        </w:rPr>
        <w:t>1.3 所有封袋上都写明比选人名称、项目名称、参选人名称。</w:t>
      </w:r>
    </w:p>
    <w:p w14:paraId="1946A795">
      <w:pPr>
        <w:spacing w:after="80" w:line="400" w:lineRule="exact"/>
      </w:pPr>
      <w:r>
        <w:rPr>
          <w:rFonts w:ascii="宋体" w:hAnsi="宋体" w:eastAsia="宋体"/>
          <w:b/>
          <w:sz w:val="24"/>
        </w:rPr>
        <w:t>2. 初步评审时响应文件出现下列情况之一的，将作为无效响应文件处理，无效响应文件不予参加后续评审：</w:t>
      </w:r>
    </w:p>
    <w:p w14:paraId="17D6E7FC">
      <w:pPr>
        <w:spacing w:after="80" w:line="400" w:lineRule="exact"/>
      </w:pPr>
      <w:r>
        <w:rPr>
          <w:rFonts w:ascii="宋体" w:hAnsi="宋体" w:eastAsia="宋体"/>
          <w:b w:val="0"/>
          <w:sz w:val="24"/>
        </w:rPr>
        <w:t>2.1 响应文件未按比选文件规定的响应文件格式签字或盖章；</w:t>
      </w:r>
    </w:p>
    <w:p w14:paraId="6A7303E0">
      <w:pPr>
        <w:spacing w:after="80" w:line="400" w:lineRule="exact"/>
      </w:pPr>
      <w:r>
        <w:rPr>
          <w:rFonts w:ascii="宋体" w:hAnsi="宋体" w:eastAsia="宋体"/>
          <w:b w:val="0"/>
          <w:sz w:val="24"/>
        </w:rPr>
        <w:t>2.2 参选人不能出示法定代表人授权委托书，或授权委托书无参选人公章（法人章）与法定代表人的印鉴（或签字）；</w:t>
      </w:r>
    </w:p>
    <w:p w14:paraId="0E1B9A1E">
      <w:pPr>
        <w:spacing w:after="80" w:line="400" w:lineRule="exact"/>
      </w:pPr>
      <w:r>
        <w:rPr>
          <w:rFonts w:ascii="宋体" w:hAnsi="宋体" w:eastAsia="宋体"/>
          <w:b w:val="0"/>
          <w:sz w:val="24"/>
        </w:rPr>
        <w:t>2.3 响应文件未按比选文件规定的格式、内容和要求编制，响应文件字迹潦草、模糊，无法辨认；</w:t>
      </w:r>
    </w:p>
    <w:p w14:paraId="35AE0476">
      <w:pPr>
        <w:spacing w:after="80" w:line="400" w:lineRule="exact"/>
      </w:pPr>
      <w:r>
        <w:rPr>
          <w:rFonts w:ascii="宋体" w:hAnsi="宋体" w:eastAsia="宋体"/>
          <w:b w:val="0"/>
          <w:sz w:val="24"/>
        </w:rPr>
        <w:t>2.4 参选人在一份响应文件中，报有两个或多个报价，且未书面声明以哪个报价为准；</w:t>
      </w:r>
    </w:p>
    <w:p w14:paraId="5E924991">
      <w:pPr>
        <w:spacing w:after="80" w:line="400" w:lineRule="exact"/>
      </w:pPr>
      <w:r>
        <w:rPr>
          <w:rFonts w:ascii="宋体" w:hAnsi="宋体" w:eastAsia="宋体"/>
          <w:b w:val="0"/>
          <w:sz w:val="24"/>
        </w:rPr>
        <w:t>2.5 参选人不满足参与资格要求或其单位名称、项目负责人与报名时情况不符；</w:t>
      </w:r>
    </w:p>
    <w:p w14:paraId="328D80A2">
      <w:pPr>
        <w:spacing w:after="80" w:line="400" w:lineRule="exact"/>
      </w:pPr>
      <w:r>
        <w:rPr>
          <w:rFonts w:ascii="宋体" w:hAnsi="宋体" w:eastAsia="宋体"/>
          <w:b w:val="0"/>
          <w:sz w:val="24"/>
        </w:rPr>
        <w:t>2.6 互相抄袭响应文件的；</w:t>
      </w:r>
    </w:p>
    <w:p w14:paraId="0C6A6BEA">
      <w:pPr>
        <w:spacing w:after="80" w:line="400" w:lineRule="exact"/>
      </w:pPr>
      <w:r>
        <w:rPr>
          <w:rFonts w:ascii="宋体" w:hAnsi="宋体" w:eastAsia="宋体"/>
          <w:b w:val="0"/>
          <w:sz w:val="24"/>
        </w:rPr>
        <w:t>2.7 比选委员会现场认定的其他异常情况。</w:t>
      </w:r>
    </w:p>
    <w:p w14:paraId="0DDBE3A8">
      <w:pPr>
        <w:spacing w:after="80" w:line="400" w:lineRule="exact"/>
      </w:pPr>
      <w:r>
        <w:rPr>
          <w:rFonts w:ascii="宋体" w:hAnsi="宋体" w:eastAsia="宋体"/>
          <w:b w:val="0"/>
          <w:sz w:val="24"/>
        </w:rPr>
        <w:t xml:space="preserve">3. </w:t>
      </w:r>
      <w:r>
        <w:rPr>
          <w:rFonts w:hint="eastAsia"/>
          <w:b w:val="0"/>
          <w:sz w:val="24"/>
          <w:lang w:val="en-US" w:eastAsia="zh-CN"/>
        </w:rPr>
        <w:t>投标</w:t>
      </w:r>
      <w:r>
        <w:rPr>
          <w:rFonts w:ascii="宋体" w:hAnsi="宋体" w:eastAsia="宋体"/>
          <w:b w:val="0"/>
          <w:sz w:val="24"/>
        </w:rPr>
        <w:t>截止时间：</w:t>
      </w:r>
      <w:r>
        <w:rPr>
          <w:rFonts w:hint="eastAsia"/>
          <w:b w:val="0"/>
          <w:sz w:val="24"/>
          <w:lang w:val="en-US" w:eastAsia="zh-CN"/>
        </w:rPr>
        <w:t>2026年7</w:t>
      </w:r>
      <w:r>
        <w:rPr>
          <w:rFonts w:ascii="宋体" w:hAnsi="宋体" w:eastAsia="宋体"/>
          <w:b w:val="0"/>
          <w:sz w:val="24"/>
        </w:rPr>
        <w:t>月</w:t>
      </w:r>
      <w:r>
        <w:rPr>
          <w:rFonts w:hint="eastAsia"/>
          <w:b w:val="0"/>
          <w:sz w:val="24"/>
          <w:lang w:val="en-US" w:eastAsia="zh-CN"/>
        </w:rPr>
        <w:t>15</w:t>
      </w:r>
      <w:r>
        <w:rPr>
          <w:rFonts w:ascii="宋体" w:hAnsi="宋体" w:eastAsia="宋体"/>
          <w:b w:val="0"/>
          <w:sz w:val="24"/>
        </w:rPr>
        <w:t>日</w:t>
      </w:r>
      <w:r>
        <w:rPr>
          <w:rFonts w:hint="eastAsia"/>
          <w:b w:val="0"/>
          <w:sz w:val="24"/>
          <w:lang w:val="en-US" w:eastAsia="zh-CN"/>
        </w:rPr>
        <w:t>9</w:t>
      </w:r>
      <w:r>
        <w:rPr>
          <w:rFonts w:ascii="宋体" w:hAnsi="宋体" w:eastAsia="宋体"/>
          <w:b w:val="0"/>
          <w:sz w:val="24"/>
        </w:rPr>
        <w:t>时</w:t>
      </w:r>
      <w:r>
        <w:rPr>
          <w:rFonts w:hint="eastAsia"/>
          <w:b w:val="0"/>
          <w:sz w:val="24"/>
          <w:lang w:val="en-US" w:eastAsia="zh-CN"/>
        </w:rPr>
        <w:t>00</w:t>
      </w:r>
      <w:r>
        <w:rPr>
          <w:rFonts w:ascii="宋体" w:hAnsi="宋体" w:eastAsia="宋体"/>
          <w:b w:val="0"/>
          <w:sz w:val="24"/>
        </w:rPr>
        <w:t>分（北京时间）。</w:t>
      </w:r>
    </w:p>
    <w:p w14:paraId="11EAC789">
      <w:pPr>
        <w:spacing w:after="80" w:line="400" w:lineRule="exact"/>
        <w:rPr>
          <w:rFonts w:hint="eastAsia" w:eastAsia="宋体"/>
          <w:lang w:eastAsia="zh-CN"/>
        </w:rPr>
      </w:pPr>
      <w:r>
        <w:rPr>
          <w:rFonts w:ascii="宋体" w:hAnsi="宋体" w:eastAsia="宋体"/>
          <w:b w:val="0"/>
          <w:sz w:val="24"/>
        </w:rPr>
        <w:t>4. 文件递交地址：北京市</w:t>
      </w:r>
      <w:r>
        <w:rPr>
          <w:rFonts w:hint="eastAsia" w:ascii="宋体" w:hAnsi="宋体" w:eastAsia="宋体"/>
          <w:b w:val="0"/>
          <w:sz w:val="24"/>
        </w:rPr>
        <w:t>海淀区文慧园北路8号</w:t>
      </w:r>
      <w:r>
        <w:rPr>
          <w:rFonts w:hint="eastAsia"/>
          <w:b w:val="0"/>
          <w:sz w:val="24"/>
          <w:lang w:eastAsia="zh-CN"/>
        </w:rPr>
        <w:t>庆亚大厦A座2层</w:t>
      </w:r>
    </w:p>
    <w:p w14:paraId="31375C98">
      <w:pPr>
        <w:spacing w:after="80" w:line="400" w:lineRule="exact"/>
      </w:pPr>
      <w:r>
        <w:rPr>
          <w:rFonts w:ascii="宋体" w:hAnsi="宋体" w:eastAsia="宋体"/>
          <w:b w:val="0"/>
          <w:sz w:val="24"/>
        </w:rPr>
        <w:t>5. 响应文件份数：</w:t>
      </w:r>
      <w:r>
        <w:rPr>
          <w:rFonts w:ascii="宋体" w:hAnsi="宋体" w:eastAsia="宋体"/>
          <w:b/>
          <w:bCs/>
          <w:color w:val="0000FF"/>
          <w:sz w:val="24"/>
        </w:rPr>
        <w:t>3份纸质文件</w:t>
      </w:r>
      <w:r>
        <w:rPr>
          <w:rFonts w:hint="eastAsia"/>
          <w:b/>
          <w:bCs/>
          <w:color w:val="0000FF"/>
          <w:sz w:val="24"/>
          <w:lang w:eastAsia="zh-CN"/>
        </w:rPr>
        <w:t>（</w:t>
      </w:r>
      <w:r>
        <w:rPr>
          <w:rFonts w:hint="eastAsia"/>
          <w:b/>
          <w:bCs/>
          <w:color w:val="0000FF"/>
          <w:sz w:val="24"/>
          <w:lang w:val="en-US" w:eastAsia="zh-CN"/>
        </w:rPr>
        <w:t>一正两副）</w:t>
      </w:r>
      <w:r>
        <w:rPr>
          <w:rFonts w:ascii="宋体" w:hAnsi="宋体" w:eastAsia="宋体"/>
          <w:b/>
          <w:bCs/>
          <w:color w:val="0000FF"/>
          <w:sz w:val="24"/>
        </w:rPr>
        <w:t>，1份电子版</w:t>
      </w:r>
      <w:r>
        <w:rPr>
          <w:rFonts w:hint="eastAsia"/>
          <w:b/>
          <w:bCs/>
          <w:color w:val="0000FF"/>
          <w:sz w:val="24"/>
          <w:lang w:val="en-US" w:eastAsia="zh-CN"/>
        </w:rPr>
        <w:t>扫描件</w:t>
      </w:r>
      <w:r>
        <w:rPr>
          <w:rFonts w:ascii="宋体" w:hAnsi="宋体" w:eastAsia="宋体"/>
          <w:b w:val="0"/>
          <w:bCs w:val="0"/>
          <w:sz w:val="24"/>
        </w:rPr>
        <w:t>（</w:t>
      </w:r>
      <w:r>
        <w:rPr>
          <w:rFonts w:ascii="宋体" w:hAnsi="宋体" w:eastAsia="宋体"/>
          <w:b w:val="0"/>
          <w:sz w:val="24"/>
        </w:rPr>
        <w:t>电子版本应与纸质文件内容一致</w:t>
      </w:r>
      <w:r>
        <w:rPr>
          <w:rFonts w:hint="eastAsia"/>
          <w:b w:val="0"/>
          <w:sz w:val="24"/>
          <w:lang w:eastAsia="zh-CN"/>
        </w:rPr>
        <w:t>，</w:t>
      </w:r>
      <w:r>
        <w:rPr>
          <w:rFonts w:hint="eastAsia"/>
          <w:b w:val="0"/>
          <w:sz w:val="24"/>
          <w:lang w:val="en-US" w:eastAsia="zh-CN"/>
        </w:rPr>
        <w:t>存放U盘或硬盘中</w:t>
      </w:r>
      <w:r>
        <w:rPr>
          <w:rFonts w:ascii="宋体" w:hAnsi="宋体" w:eastAsia="宋体"/>
          <w:b w:val="0"/>
          <w:sz w:val="24"/>
        </w:rPr>
        <w:t>）。</w:t>
      </w:r>
    </w:p>
    <w:p w14:paraId="5BE39F6F">
      <w:r>
        <w:br w:type="page"/>
      </w:r>
    </w:p>
    <w:p w14:paraId="1064CB6A">
      <w:pPr>
        <w:jc w:val="center"/>
      </w:pPr>
      <w:r>
        <w:rPr>
          <w:rFonts w:ascii="黑体" w:hAnsi="黑体" w:eastAsia="黑体"/>
          <w:b/>
          <w:sz w:val="32"/>
        </w:rPr>
        <w:t>三、比选程序</w:t>
      </w:r>
    </w:p>
    <w:p w14:paraId="041B3362">
      <w:pPr>
        <w:jc w:val="left"/>
        <w:rPr>
          <w:rFonts w:hint="eastAsia" w:ascii="宋体" w:hAnsi="宋体" w:eastAsia="宋体"/>
          <w:b w:val="0"/>
          <w:sz w:val="24"/>
        </w:rPr>
      </w:pPr>
      <w:r>
        <w:rPr>
          <w:rFonts w:hint="eastAsia" w:ascii="宋体" w:hAnsi="宋体" w:eastAsia="宋体"/>
          <w:b w:val="0"/>
          <w:sz w:val="24"/>
        </w:rPr>
        <w:t>第一条 评审原则</w:t>
      </w:r>
    </w:p>
    <w:p w14:paraId="7279EFF2">
      <w:pPr>
        <w:jc w:val="left"/>
        <w:rPr>
          <w:rFonts w:hint="eastAsia" w:ascii="宋体" w:hAnsi="宋体" w:eastAsia="宋体"/>
          <w:b w:val="0"/>
          <w:sz w:val="24"/>
        </w:rPr>
      </w:pPr>
      <w:r>
        <w:rPr>
          <w:rFonts w:hint="eastAsia" w:ascii="宋体" w:hAnsi="宋体" w:eastAsia="宋体"/>
          <w:b w:val="0"/>
          <w:sz w:val="24"/>
        </w:rPr>
        <w:t>比选评审活动遵循公开、公平、公正和诚实信用的原则，由比选委员会按照比选文件规定的评审标准和方法独立进行。</w:t>
      </w:r>
    </w:p>
    <w:p w14:paraId="29B7137C">
      <w:pPr>
        <w:jc w:val="left"/>
        <w:rPr>
          <w:rFonts w:hint="eastAsia" w:ascii="宋体" w:hAnsi="宋体" w:eastAsia="宋体"/>
          <w:b w:val="0"/>
          <w:sz w:val="24"/>
        </w:rPr>
      </w:pPr>
      <w:r>
        <w:rPr>
          <w:rFonts w:hint="eastAsia" w:ascii="宋体" w:hAnsi="宋体" w:eastAsia="宋体"/>
          <w:b w:val="0"/>
          <w:sz w:val="24"/>
        </w:rPr>
        <w:t>第二条 评审委员会</w:t>
      </w:r>
    </w:p>
    <w:p w14:paraId="1A4268E1">
      <w:pPr>
        <w:jc w:val="left"/>
        <w:rPr>
          <w:rFonts w:hint="eastAsia" w:ascii="宋体" w:hAnsi="宋体" w:eastAsia="宋体"/>
          <w:b w:val="0"/>
          <w:sz w:val="24"/>
        </w:rPr>
      </w:pPr>
      <w:r>
        <w:rPr>
          <w:rFonts w:hint="eastAsia" w:ascii="宋体" w:hAnsi="宋体" w:eastAsia="宋体"/>
          <w:b w:val="0"/>
          <w:sz w:val="24"/>
          <w:lang w:val="en-US" w:eastAsia="zh-CN"/>
        </w:rPr>
        <w:t>1.</w:t>
      </w:r>
      <w:r>
        <w:rPr>
          <w:rFonts w:hint="eastAsia" w:ascii="宋体" w:hAnsi="宋体" w:eastAsia="宋体"/>
          <w:b w:val="0"/>
          <w:sz w:val="24"/>
        </w:rPr>
        <w:t>比选委员会由比选人代表和有关技术、经济等方面的专家组成，成员人数为三人</w:t>
      </w:r>
      <w:r>
        <w:rPr>
          <w:rFonts w:hint="eastAsia"/>
          <w:b w:val="0"/>
          <w:sz w:val="24"/>
          <w:lang w:val="en-US" w:eastAsia="zh-CN"/>
        </w:rPr>
        <w:t>及</w:t>
      </w:r>
      <w:r>
        <w:rPr>
          <w:rFonts w:hint="eastAsia" w:ascii="宋体" w:hAnsi="宋体" w:eastAsia="宋体"/>
          <w:b w:val="0"/>
          <w:sz w:val="24"/>
        </w:rPr>
        <w:t>以上单数。</w:t>
      </w:r>
    </w:p>
    <w:p w14:paraId="57E8B989">
      <w:pPr>
        <w:jc w:val="left"/>
        <w:rPr>
          <w:rFonts w:hint="eastAsia" w:ascii="宋体" w:hAnsi="宋体" w:eastAsia="宋体"/>
          <w:b w:val="0"/>
          <w:sz w:val="24"/>
        </w:rPr>
      </w:pPr>
      <w:r>
        <w:rPr>
          <w:rFonts w:hint="eastAsia" w:ascii="宋体" w:hAnsi="宋体" w:eastAsia="宋体"/>
          <w:b w:val="0"/>
          <w:sz w:val="24"/>
          <w:lang w:val="en-US" w:eastAsia="zh-CN"/>
        </w:rPr>
        <w:t>2.</w:t>
      </w:r>
      <w:r>
        <w:rPr>
          <w:rFonts w:hint="eastAsia" w:ascii="宋体" w:hAnsi="宋体" w:eastAsia="宋体"/>
          <w:b w:val="0"/>
          <w:sz w:val="24"/>
        </w:rPr>
        <w:t>比选委员会成员应当客观、公正地履行评审职责，遵守职业道德，对所提出的评审意见承担个人责任。</w:t>
      </w:r>
    </w:p>
    <w:p w14:paraId="4A39B0AF">
      <w:pPr>
        <w:jc w:val="left"/>
        <w:rPr>
          <w:rFonts w:hint="eastAsia" w:ascii="宋体" w:hAnsi="宋体" w:eastAsia="宋体"/>
          <w:b w:val="0"/>
          <w:sz w:val="24"/>
        </w:rPr>
      </w:pPr>
      <w:r>
        <w:rPr>
          <w:rFonts w:hint="eastAsia" w:ascii="宋体" w:hAnsi="宋体" w:eastAsia="宋体"/>
          <w:b w:val="0"/>
          <w:sz w:val="24"/>
        </w:rPr>
        <w:t>第三条 评审程序</w:t>
      </w:r>
    </w:p>
    <w:p w14:paraId="1C88A87B">
      <w:pPr>
        <w:jc w:val="left"/>
        <w:rPr>
          <w:rFonts w:hint="eastAsia" w:ascii="宋体" w:hAnsi="宋体" w:eastAsia="宋体"/>
          <w:b w:val="0"/>
          <w:sz w:val="24"/>
        </w:rPr>
      </w:pPr>
      <w:r>
        <w:rPr>
          <w:rFonts w:hint="eastAsia" w:ascii="宋体" w:hAnsi="宋体" w:eastAsia="宋体"/>
          <w:b w:val="0"/>
          <w:sz w:val="24"/>
        </w:rPr>
        <w:t>本次比选评审按照以下程序依次进行：</w:t>
      </w:r>
    </w:p>
    <w:p w14:paraId="5ADA1972">
      <w:pPr>
        <w:jc w:val="left"/>
        <w:rPr>
          <w:rFonts w:hint="eastAsia" w:ascii="宋体" w:hAnsi="宋体" w:eastAsia="宋体"/>
          <w:b w:val="0"/>
          <w:sz w:val="24"/>
        </w:rPr>
      </w:pPr>
      <w:r>
        <w:rPr>
          <w:rFonts w:hint="eastAsia" w:ascii="宋体" w:hAnsi="宋体" w:eastAsia="宋体"/>
          <w:b w:val="0"/>
          <w:sz w:val="24"/>
          <w:lang w:val="en-US" w:eastAsia="zh-CN"/>
        </w:rPr>
        <w:t>1.</w:t>
      </w:r>
      <w:r>
        <w:rPr>
          <w:rFonts w:hint="eastAsia" w:ascii="宋体" w:hAnsi="宋体" w:eastAsia="宋体"/>
          <w:b w:val="0"/>
          <w:sz w:val="24"/>
        </w:rPr>
        <w:t>初步评审（含资格审查与符合性审查）。比选委员会对全部参选文件进行初步评审，审查参选人是否具备参选资格、参选文件是否对比选文件作出实质性响应。</w:t>
      </w:r>
    </w:p>
    <w:p w14:paraId="353A6243">
      <w:pPr>
        <w:jc w:val="left"/>
        <w:rPr>
          <w:rFonts w:hint="eastAsia" w:ascii="宋体" w:hAnsi="宋体" w:eastAsia="宋体"/>
          <w:b w:val="0"/>
          <w:sz w:val="24"/>
        </w:rPr>
      </w:pPr>
      <w:r>
        <w:rPr>
          <w:rFonts w:hint="eastAsia" w:ascii="宋体" w:hAnsi="宋体" w:eastAsia="宋体"/>
          <w:b w:val="0"/>
          <w:sz w:val="24"/>
        </w:rPr>
        <w:t>详细评审（比较与评价）。比选委员会对通过初步评审的参选文件，按照比选文件中载明的评审标准和方法进行详细评审，包括技术评审、商务评审和价格评审等。</w:t>
      </w:r>
    </w:p>
    <w:p w14:paraId="769C3374">
      <w:pPr>
        <w:jc w:val="left"/>
        <w:rPr>
          <w:rFonts w:hint="eastAsia" w:ascii="宋体" w:hAnsi="宋体" w:eastAsia="宋体"/>
          <w:b w:val="0"/>
          <w:sz w:val="24"/>
        </w:rPr>
      </w:pPr>
      <w:r>
        <w:rPr>
          <w:rFonts w:hint="eastAsia" w:ascii="宋体" w:hAnsi="宋体" w:eastAsia="宋体"/>
          <w:b w:val="0"/>
          <w:sz w:val="24"/>
          <w:lang w:val="en-US" w:eastAsia="zh-CN"/>
        </w:rPr>
        <w:t>2.</w:t>
      </w:r>
      <w:r>
        <w:rPr>
          <w:rFonts w:hint="eastAsia" w:ascii="宋体" w:hAnsi="宋体" w:eastAsia="宋体"/>
          <w:b w:val="0"/>
          <w:sz w:val="24"/>
        </w:rPr>
        <w:t>评分汇总与排序。比选委员会汇总各参选人的详细评审得分，各评审因素得分及评审总得分均保留小数点后两位，小数点后第三位四舍五入。按照评审总得分由高到低进行排序。</w:t>
      </w:r>
    </w:p>
    <w:p w14:paraId="7285074F">
      <w:pPr>
        <w:jc w:val="left"/>
        <w:rPr>
          <w:rFonts w:hint="eastAsia" w:ascii="宋体" w:hAnsi="宋体" w:eastAsia="宋体"/>
          <w:b w:val="0"/>
          <w:sz w:val="24"/>
        </w:rPr>
      </w:pPr>
      <w:r>
        <w:rPr>
          <w:rFonts w:hint="eastAsia" w:ascii="宋体" w:hAnsi="宋体" w:eastAsia="宋体"/>
          <w:b w:val="0"/>
          <w:sz w:val="24"/>
          <w:lang w:val="en-US" w:eastAsia="zh-CN"/>
        </w:rPr>
        <w:t>3.</w:t>
      </w:r>
      <w:r>
        <w:rPr>
          <w:rFonts w:hint="eastAsia" w:ascii="宋体" w:hAnsi="宋体" w:eastAsia="宋体"/>
          <w:b w:val="0"/>
          <w:sz w:val="24"/>
        </w:rPr>
        <w:t>编写评审报告并推荐中选候选人。比选委员会完成评审后，编写书面评审报告，并根据评审排序向比选人推荐排名次序位于前三名的参选人作为中选候选人。</w:t>
      </w:r>
    </w:p>
    <w:p w14:paraId="072FCC81">
      <w:pPr>
        <w:jc w:val="left"/>
        <w:rPr>
          <w:rFonts w:hint="eastAsia" w:ascii="宋体" w:hAnsi="宋体" w:eastAsia="宋体"/>
          <w:b w:val="0"/>
          <w:sz w:val="24"/>
        </w:rPr>
      </w:pPr>
      <w:r>
        <w:rPr>
          <w:rFonts w:hint="eastAsia" w:ascii="宋体" w:hAnsi="宋体" w:eastAsia="宋体"/>
          <w:b w:val="0"/>
          <w:sz w:val="24"/>
        </w:rPr>
        <w:t>第四条 初步评审</w:t>
      </w:r>
    </w:p>
    <w:p w14:paraId="2B30D230">
      <w:pPr>
        <w:jc w:val="left"/>
        <w:rPr>
          <w:rFonts w:hint="eastAsia" w:ascii="宋体" w:hAnsi="宋体" w:eastAsia="宋体"/>
          <w:b w:val="0"/>
          <w:sz w:val="24"/>
        </w:rPr>
      </w:pPr>
      <w:r>
        <w:rPr>
          <w:rFonts w:hint="eastAsia" w:ascii="宋体" w:hAnsi="宋体" w:eastAsia="宋体"/>
          <w:b w:val="0"/>
          <w:sz w:val="24"/>
          <w:lang w:val="en-US" w:eastAsia="zh-CN"/>
        </w:rPr>
        <w:t>1.</w:t>
      </w:r>
      <w:r>
        <w:rPr>
          <w:rFonts w:hint="eastAsia" w:ascii="宋体" w:hAnsi="宋体" w:eastAsia="宋体"/>
          <w:b w:val="0"/>
          <w:sz w:val="24"/>
        </w:rPr>
        <w:t>初步评审采用合格制，评审因素包括形式评审、资格评审和响应性评审。</w:t>
      </w:r>
    </w:p>
    <w:p w14:paraId="43765573">
      <w:pPr>
        <w:jc w:val="left"/>
        <w:rPr>
          <w:rFonts w:hint="eastAsia" w:ascii="宋体" w:hAnsi="宋体" w:eastAsia="宋体"/>
          <w:b w:val="0"/>
          <w:sz w:val="24"/>
        </w:rPr>
      </w:pPr>
      <w:r>
        <w:rPr>
          <w:rFonts w:hint="eastAsia" w:ascii="宋体" w:hAnsi="宋体" w:eastAsia="宋体"/>
          <w:b w:val="0"/>
          <w:sz w:val="24"/>
        </w:rPr>
        <w:t>参选文件任一项评审因素不符合比选文件规定的审查标准的，即不能通过初步评审，比选委员会应认定该参选文件为无效参选文件，不得进入详细评审环节。</w:t>
      </w:r>
    </w:p>
    <w:p w14:paraId="49A44A39">
      <w:pPr>
        <w:jc w:val="left"/>
        <w:rPr>
          <w:rFonts w:hint="eastAsia" w:ascii="宋体" w:hAnsi="宋体" w:eastAsia="宋体"/>
          <w:b w:val="0"/>
          <w:sz w:val="24"/>
        </w:rPr>
      </w:pPr>
      <w:r>
        <w:rPr>
          <w:rFonts w:hint="eastAsia" w:ascii="宋体" w:hAnsi="宋体" w:eastAsia="宋体"/>
          <w:b w:val="0"/>
          <w:sz w:val="24"/>
          <w:lang w:val="en-US" w:eastAsia="zh-CN"/>
        </w:rPr>
        <w:t>2.</w:t>
      </w:r>
      <w:r>
        <w:rPr>
          <w:rFonts w:hint="eastAsia" w:ascii="宋体" w:hAnsi="宋体" w:eastAsia="宋体"/>
          <w:b w:val="0"/>
          <w:sz w:val="24"/>
        </w:rPr>
        <w:t>比选委员会应当书面记录未通过初步评审的参选人名称及具体原因。</w:t>
      </w:r>
    </w:p>
    <w:p w14:paraId="1966C7D1">
      <w:pPr>
        <w:jc w:val="left"/>
        <w:rPr>
          <w:rFonts w:hint="eastAsia" w:ascii="宋体" w:hAnsi="宋体" w:eastAsia="宋体"/>
          <w:b w:val="0"/>
          <w:sz w:val="24"/>
        </w:rPr>
      </w:pPr>
      <w:r>
        <w:rPr>
          <w:rFonts w:hint="eastAsia" w:ascii="宋体" w:hAnsi="宋体" w:eastAsia="宋体"/>
          <w:b w:val="0"/>
          <w:sz w:val="24"/>
          <w:lang w:val="en-US" w:eastAsia="zh-CN"/>
        </w:rPr>
        <w:t>3.</w:t>
      </w:r>
      <w:r>
        <w:rPr>
          <w:rFonts w:hint="eastAsia" w:ascii="宋体" w:hAnsi="宋体" w:eastAsia="宋体"/>
          <w:b w:val="0"/>
          <w:sz w:val="24"/>
        </w:rPr>
        <w:t>通过初步评审的有效参选人不足三家时，比选委员会应论证本次比选是否仍具有竞争性。若比选委员会认为有效参选人的技术、经济等指标仍具有市场竞争力，能够满足比选文件要求的，可以继续评审并推荐中选候选人；若认为明显缺乏竞争的，比选委员会可以否决全部参选，比选人应当重新组织采购活动。</w:t>
      </w:r>
    </w:p>
    <w:p w14:paraId="0CE349AA">
      <w:pPr>
        <w:jc w:val="left"/>
        <w:rPr>
          <w:rFonts w:hint="eastAsia" w:ascii="宋体" w:hAnsi="宋体" w:eastAsia="宋体"/>
          <w:b w:val="0"/>
          <w:sz w:val="24"/>
        </w:rPr>
      </w:pPr>
      <w:r>
        <w:rPr>
          <w:rFonts w:hint="eastAsia" w:ascii="宋体" w:hAnsi="宋体" w:eastAsia="宋体"/>
          <w:b w:val="0"/>
          <w:sz w:val="24"/>
        </w:rPr>
        <w:t>第五条 评分计算规则</w:t>
      </w:r>
    </w:p>
    <w:p w14:paraId="37E71F27">
      <w:pPr>
        <w:jc w:val="left"/>
        <w:rPr>
          <w:rFonts w:hint="eastAsia" w:ascii="宋体" w:hAnsi="宋体" w:eastAsia="宋体"/>
          <w:b w:val="0"/>
          <w:sz w:val="24"/>
        </w:rPr>
      </w:pPr>
      <w:r>
        <w:rPr>
          <w:rFonts w:hint="eastAsia" w:ascii="宋体" w:hAnsi="宋体" w:eastAsia="宋体"/>
          <w:b w:val="0"/>
          <w:sz w:val="24"/>
        </w:rPr>
        <w:t>各评审因素得分及评审总得分，均保留小数点后两位，小数点后第三位四舍五入。比选委员会成员对各评审因素的分项评分，应当精确到小数点后一位；涉及多个评委评分的算术平均计算，计算过程中保留小数点后三位，最终得分按前款规则确定。</w:t>
      </w:r>
    </w:p>
    <w:p w14:paraId="709DA55E">
      <w:pPr>
        <w:jc w:val="left"/>
        <w:rPr>
          <w:rFonts w:hint="eastAsia" w:ascii="宋体" w:hAnsi="宋体" w:eastAsia="宋体"/>
          <w:b w:val="0"/>
          <w:sz w:val="24"/>
        </w:rPr>
      </w:pPr>
      <w:r>
        <w:rPr>
          <w:rFonts w:hint="eastAsia" w:ascii="宋体" w:hAnsi="宋体" w:eastAsia="宋体"/>
          <w:b w:val="0"/>
          <w:sz w:val="24"/>
        </w:rPr>
        <w:t>第六条 评分复核</w:t>
      </w:r>
    </w:p>
    <w:p w14:paraId="7FCBD271">
      <w:pPr>
        <w:jc w:val="left"/>
        <w:rPr>
          <w:rFonts w:hint="eastAsia" w:ascii="宋体" w:hAnsi="宋体" w:eastAsia="宋体"/>
          <w:b w:val="0"/>
          <w:sz w:val="24"/>
        </w:rPr>
      </w:pPr>
      <w:r>
        <w:rPr>
          <w:rFonts w:hint="eastAsia" w:ascii="宋体" w:hAnsi="宋体" w:eastAsia="宋体"/>
          <w:b w:val="0"/>
          <w:sz w:val="24"/>
        </w:rPr>
        <w:t>评分汇总完成后，由比选委员会组长组织成员对各参选人的评分进行交叉复核，确保分值计算的准确性。复核无误后，比选委员会成员在评审报告上签字确认。</w:t>
      </w:r>
    </w:p>
    <w:p w14:paraId="4AFCD3AF">
      <w:pPr>
        <w:jc w:val="left"/>
        <w:rPr>
          <w:rFonts w:hint="eastAsia" w:ascii="宋体" w:hAnsi="宋体" w:eastAsia="宋体"/>
          <w:b w:val="0"/>
          <w:sz w:val="24"/>
        </w:rPr>
      </w:pPr>
      <w:r>
        <w:rPr>
          <w:rFonts w:hint="eastAsia" w:ascii="宋体" w:hAnsi="宋体" w:eastAsia="宋体"/>
          <w:b w:val="0"/>
          <w:sz w:val="24"/>
        </w:rPr>
        <w:t>第七条 中选候选人推荐规则</w:t>
      </w:r>
    </w:p>
    <w:p w14:paraId="637EAF4C">
      <w:pPr>
        <w:jc w:val="left"/>
        <w:rPr>
          <w:rFonts w:hint="eastAsia" w:ascii="宋体" w:hAnsi="宋体" w:eastAsia="宋体"/>
          <w:b w:val="0"/>
          <w:sz w:val="24"/>
        </w:rPr>
      </w:pPr>
      <w:r>
        <w:rPr>
          <w:rFonts w:hint="eastAsia" w:ascii="宋体" w:hAnsi="宋体" w:eastAsia="宋体"/>
          <w:b w:val="0"/>
          <w:sz w:val="24"/>
          <w:lang w:val="en-US" w:eastAsia="zh-CN"/>
        </w:rPr>
        <w:t>1.</w:t>
      </w:r>
      <w:r>
        <w:rPr>
          <w:rFonts w:hint="eastAsia" w:ascii="宋体" w:hAnsi="宋体" w:eastAsia="宋体"/>
          <w:b w:val="0"/>
          <w:sz w:val="24"/>
        </w:rPr>
        <w:t>比选委员会根据评审总得分由高到低进行排序，向比选人推荐排名前三名的参选人作为中选候选人。有效参选人不足三家的，按实际通过初步评审的有效参选人数量推荐。</w:t>
      </w:r>
    </w:p>
    <w:p w14:paraId="72226FFA">
      <w:pPr>
        <w:jc w:val="left"/>
        <w:rPr>
          <w:rFonts w:hint="eastAsia" w:ascii="宋体" w:hAnsi="宋体" w:eastAsia="宋体"/>
          <w:b w:val="0"/>
          <w:sz w:val="24"/>
        </w:rPr>
      </w:pPr>
      <w:r>
        <w:rPr>
          <w:rFonts w:hint="eastAsia" w:ascii="宋体" w:hAnsi="宋体" w:eastAsia="宋体"/>
          <w:b w:val="0"/>
          <w:sz w:val="24"/>
          <w:lang w:val="en-US" w:eastAsia="zh-CN"/>
        </w:rPr>
        <w:t>2.</w:t>
      </w:r>
      <w:r>
        <w:rPr>
          <w:rFonts w:hint="eastAsia" w:ascii="宋体" w:hAnsi="宋体" w:eastAsia="宋体"/>
          <w:b w:val="0"/>
          <w:sz w:val="24"/>
        </w:rPr>
        <w:t>评审总得分相同的参选人，按照参选报价由低到高的顺序排列。</w:t>
      </w:r>
    </w:p>
    <w:p w14:paraId="2149EA16">
      <w:pPr>
        <w:jc w:val="left"/>
        <w:rPr>
          <w:rFonts w:hint="eastAsia" w:ascii="宋体" w:hAnsi="宋体" w:eastAsia="宋体"/>
          <w:b w:val="0"/>
          <w:sz w:val="24"/>
        </w:rPr>
      </w:pPr>
      <w:r>
        <w:rPr>
          <w:rFonts w:hint="eastAsia" w:ascii="宋体" w:hAnsi="宋体" w:eastAsia="宋体"/>
          <w:b w:val="0"/>
          <w:sz w:val="24"/>
          <w:lang w:val="en-US" w:eastAsia="zh-CN"/>
        </w:rPr>
        <w:t>3.</w:t>
      </w:r>
      <w:r>
        <w:rPr>
          <w:rFonts w:hint="eastAsia" w:ascii="宋体" w:hAnsi="宋体" w:eastAsia="宋体"/>
          <w:b w:val="0"/>
          <w:sz w:val="24"/>
        </w:rPr>
        <w:t>评审总得分相同且参选报价也相同的，按照技术指标优劣顺序排列。技术指标优劣由比选委员会根据技术评审得分或技术方案综合评定确定。</w:t>
      </w:r>
    </w:p>
    <w:p w14:paraId="494184A2">
      <w:pPr>
        <w:jc w:val="left"/>
        <w:rPr>
          <w:rFonts w:hint="eastAsia" w:ascii="宋体" w:hAnsi="宋体" w:eastAsia="宋体"/>
          <w:b w:val="0"/>
          <w:sz w:val="24"/>
        </w:rPr>
      </w:pPr>
      <w:r>
        <w:rPr>
          <w:rFonts w:hint="eastAsia" w:ascii="宋体" w:hAnsi="宋体" w:eastAsia="宋体"/>
          <w:b w:val="0"/>
          <w:sz w:val="24"/>
          <w:lang w:val="en-US" w:eastAsia="zh-CN"/>
        </w:rPr>
        <w:t>4.</w:t>
      </w:r>
      <w:r>
        <w:rPr>
          <w:rFonts w:hint="eastAsia" w:ascii="宋体" w:hAnsi="宋体" w:eastAsia="宋体"/>
          <w:b w:val="0"/>
          <w:sz w:val="24"/>
        </w:rPr>
        <w:t>评审总得分相同、参选报价相同且技术指标优劣无法区分的，由比选委员会按照以下顺序依次确定排序：（1）商务部分得分高者优先；（2）参选人综合实力及履约能力较优者优先；（3）仍无法区分的，由比选委员会投票决定排序。</w:t>
      </w:r>
    </w:p>
    <w:p w14:paraId="0075B581">
      <w:pPr>
        <w:jc w:val="left"/>
        <w:rPr>
          <w:rFonts w:hint="eastAsia" w:ascii="宋体" w:hAnsi="宋体" w:eastAsia="宋体"/>
          <w:b w:val="0"/>
          <w:sz w:val="24"/>
        </w:rPr>
      </w:pPr>
      <w:r>
        <w:rPr>
          <w:rFonts w:hint="eastAsia" w:ascii="宋体" w:hAnsi="宋体" w:eastAsia="宋体"/>
          <w:b w:val="0"/>
          <w:sz w:val="24"/>
        </w:rPr>
        <w:t>第八条 参选人不足三家的处理</w:t>
      </w:r>
    </w:p>
    <w:p w14:paraId="23A2BD53">
      <w:pPr>
        <w:jc w:val="left"/>
        <w:rPr>
          <w:rFonts w:hint="eastAsia" w:ascii="宋体" w:hAnsi="宋体" w:eastAsia="宋体"/>
          <w:b w:val="0"/>
          <w:sz w:val="24"/>
        </w:rPr>
      </w:pPr>
      <w:r>
        <w:rPr>
          <w:rFonts w:hint="eastAsia" w:ascii="宋体" w:hAnsi="宋体" w:eastAsia="宋体"/>
          <w:b w:val="0"/>
          <w:sz w:val="24"/>
        </w:rPr>
        <w:t xml:space="preserve">截至参选文件递交截止时间，递交参选文件的参选人不足三家的，比选人应当重新组织比选；重新比选后参选人仍不足三家的，经比选人内部决策程序批准后，可转为谈判采购等其他竞争性采购方式。        </w:t>
      </w:r>
    </w:p>
    <w:p w14:paraId="6483A484">
      <w:pPr>
        <w:jc w:val="both"/>
        <w:rPr>
          <w:rFonts w:ascii="黑体" w:hAnsi="黑体" w:eastAsia="黑体"/>
          <w:b/>
          <w:sz w:val="32"/>
        </w:rPr>
      </w:pPr>
    </w:p>
    <w:p w14:paraId="774432C8">
      <w:pPr>
        <w:jc w:val="both"/>
        <w:rPr>
          <w:rFonts w:ascii="黑体" w:hAnsi="黑体" w:eastAsia="黑体"/>
          <w:b/>
          <w:sz w:val="32"/>
        </w:rPr>
      </w:pPr>
    </w:p>
    <w:p w14:paraId="2AA4C51F">
      <w:pPr>
        <w:jc w:val="both"/>
        <w:rPr>
          <w:rFonts w:ascii="黑体" w:hAnsi="黑体" w:eastAsia="黑体"/>
          <w:b/>
          <w:sz w:val="32"/>
        </w:rPr>
      </w:pPr>
    </w:p>
    <w:p w14:paraId="0B407B57">
      <w:pPr>
        <w:jc w:val="center"/>
      </w:pPr>
      <w:r>
        <w:rPr>
          <w:rFonts w:ascii="黑体" w:hAnsi="黑体" w:eastAsia="黑体"/>
          <w:b/>
          <w:sz w:val="32"/>
        </w:rPr>
        <w:t>四、</w:t>
      </w:r>
      <w:r>
        <w:rPr>
          <w:rFonts w:hint="eastAsia" w:ascii="黑体" w:hAnsi="黑体" w:eastAsia="黑体"/>
          <w:b/>
          <w:sz w:val="32"/>
          <w:lang w:val="en-US" w:eastAsia="zh-CN"/>
        </w:rPr>
        <w:t>服务</w:t>
      </w:r>
      <w:r>
        <w:rPr>
          <w:rFonts w:ascii="黑体" w:hAnsi="黑体" w:eastAsia="黑体"/>
          <w:b/>
          <w:sz w:val="32"/>
        </w:rPr>
        <w:t>需求</w:t>
      </w:r>
    </w:p>
    <w:p w14:paraId="016AE31B">
      <w:pPr>
        <w:jc w:val="left"/>
      </w:pPr>
      <w:r>
        <w:rPr>
          <w:rFonts w:ascii="黑体" w:hAnsi="黑体" w:eastAsia="黑体"/>
          <w:b/>
          <w:sz w:val="28"/>
        </w:rPr>
        <w:t>（一）需求一览表</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0"/>
        <w:gridCol w:w="1417"/>
        <w:gridCol w:w="567"/>
        <w:gridCol w:w="3118"/>
        <w:gridCol w:w="1701"/>
        <w:gridCol w:w="1134"/>
      </w:tblGrid>
      <w:tr w14:paraId="2F473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shd w:val="clear" w:color="auto" w:fill="4472C4"/>
            <w:vAlign w:val="center"/>
          </w:tcPr>
          <w:p w14:paraId="531BC2AA">
            <w:pPr>
              <w:jc w:val="center"/>
            </w:pPr>
            <w:r>
              <w:rPr>
                <w:rFonts w:ascii="黑体" w:hAnsi="黑体" w:eastAsia="黑体"/>
                <w:b/>
                <w:color w:val="FFFFFF"/>
                <w:sz w:val="21"/>
              </w:rPr>
              <w:t>序号</w:t>
            </w:r>
          </w:p>
        </w:tc>
        <w:tc>
          <w:tcPr>
            <w:tcW w:w="1417" w:type="dxa"/>
            <w:shd w:val="clear" w:color="auto" w:fill="4472C4"/>
            <w:vAlign w:val="center"/>
          </w:tcPr>
          <w:p w14:paraId="3E2A81AB">
            <w:pPr>
              <w:jc w:val="center"/>
            </w:pPr>
            <w:r>
              <w:rPr>
                <w:rFonts w:ascii="黑体" w:hAnsi="黑体" w:eastAsia="黑体"/>
                <w:b/>
                <w:color w:val="FFFFFF"/>
                <w:sz w:val="21"/>
              </w:rPr>
              <w:t>采购内容</w:t>
            </w:r>
          </w:p>
        </w:tc>
        <w:tc>
          <w:tcPr>
            <w:tcW w:w="567" w:type="dxa"/>
            <w:shd w:val="clear" w:color="auto" w:fill="4472C4"/>
            <w:vAlign w:val="center"/>
          </w:tcPr>
          <w:p w14:paraId="4042651D">
            <w:pPr>
              <w:jc w:val="center"/>
            </w:pPr>
            <w:r>
              <w:rPr>
                <w:rFonts w:ascii="黑体" w:hAnsi="黑体" w:eastAsia="黑体"/>
                <w:b/>
                <w:color w:val="FFFFFF"/>
                <w:sz w:val="21"/>
              </w:rPr>
              <w:t>数量</w:t>
            </w:r>
          </w:p>
        </w:tc>
        <w:tc>
          <w:tcPr>
            <w:tcW w:w="3118" w:type="dxa"/>
            <w:shd w:val="clear" w:color="auto" w:fill="4472C4"/>
            <w:vAlign w:val="center"/>
          </w:tcPr>
          <w:p w14:paraId="23C60026">
            <w:pPr>
              <w:jc w:val="center"/>
            </w:pPr>
            <w:r>
              <w:rPr>
                <w:rFonts w:ascii="黑体" w:hAnsi="黑体" w:eastAsia="黑体"/>
                <w:b/>
                <w:color w:val="FFFFFF"/>
                <w:sz w:val="21"/>
              </w:rPr>
              <w:t>简要规格描述</w:t>
            </w:r>
          </w:p>
        </w:tc>
        <w:tc>
          <w:tcPr>
            <w:tcW w:w="1701" w:type="dxa"/>
            <w:shd w:val="clear" w:color="auto" w:fill="4472C4"/>
            <w:vAlign w:val="center"/>
          </w:tcPr>
          <w:p w14:paraId="6DFCA33E">
            <w:pPr>
              <w:jc w:val="center"/>
            </w:pPr>
            <w:r>
              <w:rPr>
                <w:rFonts w:ascii="黑体" w:hAnsi="黑体" w:eastAsia="黑体"/>
                <w:b/>
                <w:color w:val="FFFFFF"/>
                <w:sz w:val="21"/>
              </w:rPr>
              <w:t>用途</w:t>
            </w:r>
          </w:p>
        </w:tc>
        <w:tc>
          <w:tcPr>
            <w:tcW w:w="1134" w:type="dxa"/>
            <w:shd w:val="clear" w:color="auto" w:fill="4472C4"/>
            <w:vAlign w:val="center"/>
          </w:tcPr>
          <w:p w14:paraId="0A0D28B7">
            <w:pPr>
              <w:jc w:val="center"/>
            </w:pPr>
            <w:r>
              <w:rPr>
                <w:rFonts w:ascii="黑体" w:hAnsi="黑体" w:eastAsia="黑体"/>
                <w:b/>
                <w:color w:val="FFFFFF"/>
                <w:sz w:val="21"/>
              </w:rPr>
              <w:t>预算金额（万元）</w:t>
            </w:r>
          </w:p>
        </w:tc>
      </w:tr>
      <w:tr w14:paraId="2591F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vAlign w:val="center"/>
          </w:tcPr>
          <w:p w14:paraId="61EA598B">
            <w:pPr>
              <w:jc w:val="center"/>
            </w:pPr>
            <w:r>
              <w:rPr>
                <w:rFonts w:ascii="宋体" w:hAnsi="宋体" w:eastAsia="宋体"/>
                <w:b w:val="0"/>
                <w:sz w:val="21"/>
              </w:rPr>
              <w:t>1</w:t>
            </w:r>
          </w:p>
        </w:tc>
        <w:tc>
          <w:tcPr>
            <w:tcW w:w="1417" w:type="dxa"/>
            <w:vAlign w:val="center"/>
          </w:tcPr>
          <w:p w14:paraId="590DE8CC">
            <w:pPr>
              <w:jc w:val="center"/>
            </w:pPr>
            <w:r>
              <w:rPr>
                <w:rFonts w:hint="eastAsia"/>
                <w:b w:val="0"/>
                <w:sz w:val="21"/>
                <w:lang w:eastAsia="zh-CN"/>
              </w:rPr>
              <w:t>综合</w:t>
            </w:r>
            <w:r>
              <w:rPr>
                <w:rFonts w:ascii="宋体" w:hAnsi="宋体" w:eastAsia="宋体"/>
                <w:b w:val="0"/>
                <w:sz w:val="21"/>
              </w:rPr>
              <w:t>服务</w:t>
            </w:r>
          </w:p>
        </w:tc>
        <w:tc>
          <w:tcPr>
            <w:tcW w:w="567" w:type="dxa"/>
            <w:vAlign w:val="center"/>
          </w:tcPr>
          <w:p w14:paraId="1EBD4710">
            <w:pPr>
              <w:jc w:val="center"/>
              <w:rPr>
                <w:rFonts w:hint="default" w:eastAsia="宋体"/>
                <w:lang w:val="en-US" w:eastAsia="zh-CN"/>
              </w:rPr>
            </w:pPr>
            <w:r>
              <w:rPr>
                <w:rFonts w:hint="eastAsia"/>
                <w:b w:val="0"/>
                <w:sz w:val="21"/>
                <w:lang w:val="en-US" w:eastAsia="zh-CN"/>
              </w:rPr>
              <w:t>140人</w:t>
            </w:r>
          </w:p>
        </w:tc>
        <w:tc>
          <w:tcPr>
            <w:tcW w:w="3118" w:type="dxa"/>
            <w:vAlign w:val="center"/>
          </w:tcPr>
          <w:p w14:paraId="0970BEBF">
            <w:pPr>
              <w:jc w:val="center"/>
            </w:pPr>
            <w:r>
              <w:rPr>
                <w:rFonts w:ascii="宋体" w:hAnsi="宋体" w:eastAsia="宋体"/>
                <w:b w:val="0"/>
                <w:sz w:val="21"/>
              </w:rPr>
              <w:t>为约1</w:t>
            </w:r>
            <w:r>
              <w:rPr>
                <w:rFonts w:hint="eastAsia"/>
                <w:b w:val="0"/>
                <w:sz w:val="21"/>
                <w:lang w:val="en-US" w:eastAsia="zh-CN"/>
              </w:rPr>
              <w:t>4</w:t>
            </w:r>
            <w:r>
              <w:rPr>
                <w:rFonts w:ascii="宋体" w:hAnsi="宋体" w:eastAsia="宋体"/>
                <w:b w:val="0"/>
                <w:sz w:val="21"/>
              </w:rPr>
              <w:t>0名校长及校级管理干部提供2026年7月18-23日（6天）杭州</w:t>
            </w:r>
            <w:r>
              <w:rPr>
                <w:rFonts w:hint="eastAsia"/>
                <w:b w:val="0"/>
                <w:sz w:val="21"/>
                <w:lang w:val="en-US" w:eastAsia="zh-CN"/>
              </w:rPr>
              <w:t>综合</w:t>
            </w:r>
            <w:r>
              <w:rPr>
                <w:rFonts w:ascii="宋体" w:hAnsi="宋体" w:eastAsia="宋体"/>
                <w:b w:val="0"/>
                <w:sz w:val="21"/>
              </w:rPr>
              <w:t>期间的交通、住宿、餐饮、考察点对接、导师、摄影等全套</w:t>
            </w:r>
            <w:r>
              <w:rPr>
                <w:rFonts w:hint="eastAsia"/>
                <w:b w:val="0"/>
                <w:sz w:val="21"/>
                <w:lang w:eastAsia="zh-CN"/>
              </w:rPr>
              <w:t>综合</w:t>
            </w:r>
            <w:r>
              <w:rPr>
                <w:rFonts w:ascii="宋体" w:hAnsi="宋体" w:eastAsia="宋体"/>
                <w:b w:val="0"/>
                <w:sz w:val="21"/>
              </w:rPr>
              <w:t>服务</w:t>
            </w:r>
          </w:p>
        </w:tc>
        <w:tc>
          <w:tcPr>
            <w:tcW w:w="1701" w:type="dxa"/>
            <w:vAlign w:val="center"/>
          </w:tcPr>
          <w:p w14:paraId="0AEAE72D">
            <w:pPr>
              <w:jc w:val="center"/>
              <w:rPr>
                <w:rFonts w:hint="eastAsia" w:eastAsia="宋体"/>
                <w:lang w:val="en-US" w:eastAsia="zh-CN"/>
              </w:rPr>
            </w:pPr>
            <w:r>
              <w:rPr>
                <w:rFonts w:ascii="宋体" w:hAnsi="宋体" w:eastAsia="宋体"/>
                <w:b w:val="0"/>
                <w:sz w:val="21"/>
              </w:rPr>
              <w:t>重庆县域学校AI+教育创新发展</w:t>
            </w:r>
            <w:r>
              <w:rPr>
                <w:rFonts w:hint="eastAsia"/>
                <w:b w:val="0"/>
                <w:sz w:val="21"/>
                <w:lang w:val="en-US" w:eastAsia="zh-CN"/>
              </w:rPr>
              <w:t>综合</w:t>
            </w:r>
          </w:p>
        </w:tc>
        <w:tc>
          <w:tcPr>
            <w:tcW w:w="1134" w:type="dxa"/>
            <w:vAlign w:val="center"/>
          </w:tcPr>
          <w:p w14:paraId="18E81E04">
            <w:pPr>
              <w:jc w:val="center"/>
              <w:rPr>
                <w:rFonts w:hint="default" w:eastAsia="宋体"/>
                <w:lang w:val="en-US" w:eastAsia="zh-CN"/>
              </w:rPr>
            </w:pPr>
            <w:r>
              <w:rPr>
                <w:rFonts w:hint="eastAsia"/>
                <w:b w:val="0"/>
                <w:sz w:val="21"/>
                <w:lang w:val="en-US" w:eastAsia="zh-CN"/>
              </w:rPr>
              <w:t>50以内</w:t>
            </w:r>
          </w:p>
        </w:tc>
      </w:tr>
    </w:tbl>
    <w:p w14:paraId="0F74B0F2">
      <w:pPr>
        <w:jc w:val="left"/>
      </w:pPr>
      <w:r>
        <w:rPr>
          <w:rFonts w:ascii="黑体" w:hAnsi="黑体" w:eastAsia="黑体"/>
          <w:b/>
          <w:sz w:val="28"/>
        </w:rPr>
        <w:t>（二）详细服务需求</w:t>
      </w:r>
    </w:p>
    <w:p w14:paraId="6F206AF1">
      <w:pPr>
        <w:spacing w:after="80" w:line="400" w:lineRule="exact"/>
      </w:pPr>
      <w:r>
        <w:rPr>
          <w:rFonts w:ascii="宋体" w:hAnsi="宋体" w:eastAsia="宋体"/>
          <w:b/>
          <w:sz w:val="24"/>
        </w:rPr>
        <w:t>1. 项目概况</w:t>
      </w:r>
    </w:p>
    <w:p w14:paraId="0083D26D">
      <w:pPr>
        <w:spacing w:after="80" w:line="400" w:lineRule="exact"/>
        <w:ind w:firstLine="420"/>
        <w:jc w:val="both"/>
        <w:rPr>
          <w:rFonts w:hint="default" w:eastAsia="宋体"/>
          <w:lang w:val="en-US" w:eastAsia="zh-CN"/>
        </w:rPr>
      </w:pPr>
      <w:r>
        <w:rPr>
          <w:rFonts w:ascii="宋体" w:hAnsi="宋体" w:eastAsia="宋体"/>
          <w:b w:val="0"/>
          <w:sz w:val="24"/>
        </w:rPr>
        <w:t>北京师大励耘教育科技发展集团有限公司拟于2026年7月18日至23日在杭州举办"重庆县域学校AI+教育创新发展</w:t>
      </w:r>
      <w:r>
        <w:rPr>
          <w:rFonts w:hint="eastAsia"/>
          <w:b w:val="0"/>
          <w:sz w:val="24"/>
          <w:lang w:val="en-US" w:eastAsia="zh-CN"/>
        </w:rPr>
        <w:t>综合活动</w:t>
      </w:r>
      <w:r>
        <w:rPr>
          <w:rFonts w:ascii="宋体" w:hAnsi="宋体" w:eastAsia="宋体"/>
          <w:b w:val="0"/>
          <w:sz w:val="24"/>
        </w:rPr>
        <w:t>"。本次以"共创人机协同·智启育人新局"为主题，依托西湖大学等高校学术资源与杭州AI+教育产业生态，聚焦人工智能时代县域学校高质量发展路径，开展AI前沿专题讲座、AI教学实操工作坊、头部人工智能企业实地参访交流等活动。参与人员约1</w:t>
      </w:r>
      <w:r>
        <w:rPr>
          <w:rFonts w:hint="eastAsia"/>
          <w:b w:val="0"/>
          <w:sz w:val="24"/>
          <w:lang w:val="en-US" w:eastAsia="zh-CN"/>
        </w:rPr>
        <w:t>4</w:t>
      </w:r>
      <w:r>
        <w:rPr>
          <w:rFonts w:ascii="宋体" w:hAnsi="宋体" w:eastAsia="宋体"/>
          <w:b w:val="0"/>
          <w:sz w:val="24"/>
        </w:rPr>
        <w:t>0名校长及校级管理干部</w:t>
      </w:r>
      <w:r>
        <w:rPr>
          <w:rFonts w:hint="eastAsia"/>
          <w:b w:val="0"/>
          <w:sz w:val="24"/>
          <w:lang w:eastAsia="zh-CN"/>
        </w:rPr>
        <w:t>，</w:t>
      </w:r>
      <w:r>
        <w:rPr>
          <w:rFonts w:hint="eastAsia"/>
          <w:b w:val="0"/>
          <w:sz w:val="24"/>
          <w:lang w:val="en-US" w:eastAsia="zh-CN"/>
        </w:rPr>
        <w:t>具体以实际报名人数为准，据实结算。</w:t>
      </w:r>
    </w:p>
    <w:p w14:paraId="3945D069">
      <w:pPr>
        <w:spacing w:after="80" w:line="400" w:lineRule="exact"/>
        <w:rPr>
          <w:rFonts w:ascii="宋体" w:hAnsi="宋体" w:eastAsia="宋体"/>
          <w:b/>
          <w:sz w:val="24"/>
        </w:rPr>
      </w:pPr>
      <w:r>
        <w:rPr>
          <w:rFonts w:ascii="宋体" w:hAnsi="宋体" w:eastAsia="宋体"/>
          <w:b/>
          <w:sz w:val="24"/>
        </w:rPr>
        <w:t>2. 活动日程安排</w:t>
      </w:r>
    </w:p>
    <w:p w14:paraId="1C33AE6C">
      <w:pPr>
        <w:spacing w:after="80" w:line="400" w:lineRule="exact"/>
        <w:ind w:firstLine="480" w:firstLineChars="200"/>
        <w:rPr>
          <w:rFonts w:hint="default"/>
          <w:b w:val="0"/>
          <w:bCs/>
          <w:sz w:val="24"/>
          <w:lang w:val="en-US" w:eastAsia="zh-CN"/>
        </w:rPr>
      </w:pPr>
      <w:r>
        <w:rPr>
          <w:rFonts w:hint="eastAsia"/>
          <w:b w:val="0"/>
          <w:bCs/>
          <w:sz w:val="24"/>
          <w:lang w:val="en-US" w:eastAsia="zh-CN"/>
        </w:rPr>
        <w:t>1.参访人工智能企业及杭州知名高校，需讲解及讲座安排，至少参访三家。</w:t>
      </w:r>
    </w:p>
    <w:p w14:paraId="60C23FB4">
      <w:pPr>
        <w:spacing w:after="80" w:line="400" w:lineRule="exact"/>
        <w:ind w:firstLine="480" w:firstLineChars="200"/>
        <w:rPr>
          <w:rFonts w:hint="default"/>
          <w:b w:val="0"/>
          <w:bCs/>
          <w:sz w:val="24"/>
          <w:lang w:val="en-US" w:eastAsia="zh-CN"/>
        </w:rPr>
      </w:pPr>
      <w:r>
        <w:rPr>
          <w:rFonts w:hint="eastAsia"/>
          <w:b w:val="0"/>
          <w:bCs/>
          <w:sz w:val="24"/>
          <w:lang w:val="en-US" w:eastAsia="zh-CN"/>
        </w:rPr>
        <w:t>2.整体行程六天五晚，其中一天为自由活动。</w:t>
      </w:r>
    </w:p>
    <w:p w14:paraId="2B3BF52A">
      <w:pPr>
        <w:spacing w:after="80" w:line="400" w:lineRule="exact"/>
      </w:pPr>
      <w:r>
        <w:rPr>
          <w:rFonts w:ascii="宋体" w:hAnsi="宋体" w:eastAsia="宋体"/>
          <w:b/>
          <w:sz w:val="24"/>
        </w:rPr>
        <w:t>3. 服务内容清单及标准要求</w:t>
      </w:r>
    </w:p>
    <w:p w14:paraId="54A55060">
      <w:pPr>
        <w:spacing w:after="80" w:line="400" w:lineRule="exact"/>
      </w:pPr>
      <w:r>
        <w:rPr>
          <w:rFonts w:ascii="宋体" w:hAnsi="宋体" w:eastAsia="宋体"/>
          <w:b/>
          <w:sz w:val="24"/>
        </w:rPr>
        <w:t>A. 交通服务</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68"/>
        <w:gridCol w:w="7194"/>
      </w:tblGrid>
      <w:tr w14:paraId="63620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8" w:type="dxa"/>
            <w:shd w:val="clear" w:color="auto" w:fill="4472C4"/>
            <w:vAlign w:val="center"/>
          </w:tcPr>
          <w:p w14:paraId="2A752DE9">
            <w:pPr>
              <w:jc w:val="center"/>
            </w:pPr>
            <w:r>
              <w:rPr>
                <w:rFonts w:ascii="黑体" w:hAnsi="黑体" w:eastAsia="黑体"/>
                <w:b/>
                <w:color w:val="FFFFFF"/>
                <w:sz w:val="21"/>
              </w:rPr>
              <w:t>服务项目</w:t>
            </w:r>
          </w:p>
        </w:tc>
        <w:tc>
          <w:tcPr>
            <w:tcW w:w="7194" w:type="dxa"/>
            <w:shd w:val="clear" w:color="auto" w:fill="4472C4"/>
            <w:vAlign w:val="center"/>
          </w:tcPr>
          <w:p w14:paraId="065B73BE">
            <w:pPr>
              <w:jc w:val="center"/>
            </w:pPr>
            <w:r>
              <w:rPr>
                <w:rFonts w:ascii="黑体" w:hAnsi="黑体" w:eastAsia="黑体"/>
                <w:b/>
                <w:color w:val="FFFFFF"/>
                <w:sz w:val="21"/>
              </w:rPr>
              <w:t>规格要求</w:t>
            </w:r>
          </w:p>
        </w:tc>
      </w:tr>
      <w:tr w14:paraId="4AF77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8" w:type="dxa"/>
            <w:vAlign w:val="center"/>
          </w:tcPr>
          <w:p w14:paraId="73965C4A">
            <w:pPr>
              <w:jc w:val="center"/>
            </w:pPr>
            <w:r>
              <w:rPr>
                <w:rFonts w:ascii="宋体" w:hAnsi="宋体" w:eastAsia="宋体"/>
                <w:b w:val="0"/>
                <w:sz w:val="21"/>
              </w:rPr>
              <w:t>大巴车辆</w:t>
            </w:r>
          </w:p>
        </w:tc>
        <w:tc>
          <w:tcPr>
            <w:tcW w:w="7194" w:type="dxa"/>
            <w:vAlign w:val="center"/>
          </w:tcPr>
          <w:p w14:paraId="5D0BC365">
            <w:pPr>
              <w:jc w:val="center"/>
            </w:pPr>
            <w:r>
              <w:rPr>
                <w:rFonts w:ascii="宋体" w:hAnsi="宋体" w:eastAsia="宋体"/>
                <w:b w:val="0"/>
                <w:sz w:val="21"/>
              </w:rPr>
              <w:t>49座及以上旅游大巴，具备有效营运资质和保险；杭州一地3日用车（7月19日、20日、21日）+ 第一天接站/最后一天送站</w:t>
            </w:r>
          </w:p>
        </w:tc>
      </w:tr>
      <w:tr w14:paraId="3378C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8" w:type="dxa"/>
            <w:vAlign w:val="center"/>
          </w:tcPr>
          <w:p w14:paraId="6984495A">
            <w:pPr>
              <w:jc w:val="center"/>
            </w:pPr>
            <w:r>
              <w:rPr>
                <w:rFonts w:ascii="宋体" w:hAnsi="宋体" w:eastAsia="宋体"/>
                <w:b w:val="0"/>
                <w:sz w:val="21"/>
              </w:rPr>
              <w:t>车辆保险</w:t>
            </w:r>
          </w:p>
        </w:tc>
        <w:tc>
          <w:tcPr>
            <w:tcW w:w="7194" w:type="dxa"/>
            <w:vAlign w:val="center"/>
          </w:tcPr>
          <w:p w14:paraId="15DCC4C2">
            <w:pPr>
              <w:jc w:val="center"/>
            </w:pPr>
            <w:r>
              <w:rPr>
                <w:rFonts w:ascii="宋体" w:hAnsi="宋体" w:eastAsia="宋体"/>
                <w:b w:val="0"/>
                <w:sz w:val="21"/>
              </w:rPr>
              <w:t>强制保险、车船税、第三者责任险、承运责任险、车上人员险等齐全</w:t>
            </w:r>
          </w:p>
        </w:tc>
      </w:tr>
    </w:tbl>
    <w:p w14:paraId="5A427759">
      <w:pPr>
        <w:spacing w:after="80" w:line="400" w:lineRule="exact"/>
      </w:pPr>
      <w:r>
        <w:rPr>
          <w:rFonts w:ascii="宋体" w:hAnsi="宋体" w:eastAsia="宋体"/>
          <w:b/>
          <w:sz w:val="24"/>
        </w:rPr>
        <w:t>B. 住宿服务</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67"/>
        <w:gridCol w:w="7195"/>
      </w:tblGrid>
      <w:tr w14:paraId="5EF6E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7" w:type="dxa"/>
            <w:shd w:val="clear" w:color="auto" w:fill="4472C4"/>
            <w:vAlign w:val="center"/>
          </w:tcPr>
          <w:p w14:paraId="5172D7E6">
            <w:pPr>
              <w:jc w:val="center"/>
            </w:pPr>
            <w:r>
              <w:rPr>
                <w:rFonts w:ascii="黑体" w:hAnsi="黑体" w:eastAsia="黑体"/>
                <w:b/>
                <w:color w:val="FFFFFF"/>
                <w:sz w:val="21"/>
              </w:rPr>
              <w:t>服务项目</w:t>
            </w:r>
          </w:p>
        </w:tc>
        <w:tc>
          <w:tcPr>
            <w:tcW w:w="7195" w:type="dxa"/>
            <w:shd w:val="clear" w:color="auto" w:fill="4472C4"/>
            <w:vAlign w:val="center"/>
          </w:tcPr>
          <w:p w14:paraId="07DD4086">
            <w:pPr>
              <w:jc w:val="center"/>
            </w:pPr>
            <w:r>
              <w:rPr>
                <w:rFonts w:ascii="黑体" w:hAnsi="黑体" w:eastAsia="黑体"/>
                <w:b/>
                <w:color w:val="FFFFFF"/>
                <w:sz w:val="21"/>
              </w:rPr>
              <w:t>规格要求</w:t>
            </w:r>
          </w:p>
        </w:tc>
      </w:tr>
      <w:tr w14:paraId="36941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7" w:type="dxa"/>
            <w:vAlign w:val="center"/>
          </w:tcPr>
          <w:p w14:paraId="23CE3AFA">
            <w:pPr>
              <w:jc w:val="center"/>
            </w:pPr>
            <w:r>
              <w:rPr>
                <w:rFonts w:ascii="宋体" w:hAnsi="宋体" w:eastAsia="宋体"/>
                <w:b w:val="0"/>
                <w:sz w:val="21"/>
              </w:rPr>
              <w:t>酒店标准</w:t>
            </w:r>
          </w:p>
        </w:tc>
        <w:tc>
          <w:tcPr>
            <w:tcW w:w="7195" w:type="dxa"/>
            <w:vAlign w:val="center"/>
          </w:tcPr>
          <w:p w14:paraId="31C947A9">
            <w:pPr>
              <w:jc w:val="center"/>
            </w:pPr>
            <w:r>
              <w:rPr>
                <w:rFonts w:ascii="宋体" w:hAnsi="宋体" w:eastAsia="宋体"/>
                <w:b w:val="0"/>
                <w:sz w:val="21"/>
              </w:rPr>
              <w:t>携程4钻及以上酒店或同级</w:t>
            </w:r>
          </w:p>
        </w:tc>
      </w:tr>
      <w:tr w14:paraId="6E855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7" w:type="dxa"/>
            <w:vAlign w:val="center"/>
          </w:tcPr>
          <w:p w14:paraId="1CF7A3AF">
            <w:pPr>
              <w:jc w:val="center"/>
            </w:pPr>
            <w:r>
              <w:rPr>
                <w:rFonts w:ascii="宋体" w:hAnsi="宋体" w:eastAsia="宋体"/>
                <w:b w:val="0"/>
                <w:sz w:val="21"/>
              </w:rPr>
              <w:t>房型</w:t>
            </w:r>
          </w:p>
        </w:tc>
        <w:tc>
          <w:tcPr>
            <w:tcW w:w="7195" w:type="dxa"/>
            <w:vAlign w:val="center"/>
          </w:tcPr>
          <w:p w14:paraId="7328D05F">
            <w:pPr>
              <w:jc w:val="center"/>
              <w:rPr>
                <w:rFonts w:hint="default" w:eastAsia="宋体"/>
                <w:lang w:val="en-US" w:eastAsia="zh-CN"/>
              </w:rPr>
            </w:pPr>
            <w:r>
              <w:rPr>
                <w:rFonts w:ascii="宋体" w:hAnsi="宋体" w:eastAsia="宋体"/>
                <w:b w:val="0"/>
                <w:sz w:val="21"/>
              </w:rPr>
              <w:t>高级双人间（2人/间）</w:t>
            </w:r>
            <w:r>
              <w:rPr>
                <w:rFonts w:hint="eastAsia"/>
                <w:b w:val="0"/>
                <w:sz w:val="21"/>
                <w:lang w:eastAsia="zh-CN"/>
              </w:rPr>
              <w:t>、</w:t>
            </w:r>
            <w:r>
              <w:rPr>
                <w:rFonts w:hint="eastAsia"/>
                <w:b w:val="0"/>
                <w:sz w:val="21"/>
                <w:lang w:val="en-US" w:eastAsia="zh-CN"/>
              </w:rPr>
              <w:t>大床房</w:t>
            </w:r>
          </w:p>
        </w:tc>
      </w:tr>
      <w:tr w14:paraId="61656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7" w:type="dxa"/>
            <w:vAlign w:val="center"/>
          </w:tcPr>
          <w:p w14:paraId="5260B1A9">
            <w:pPr>
              <w:jc w:val="center"/>
            </w:pPr>
            <w:r>
              <w:rPr>
                <w:rFonts w:ascii="宋体" w:hAnsi="宋体" w:eastAsia="宋体"/>
                <w:b w:val="0"/>
                <w:sz w:val="21"/>
              </w:rPr>
              <w:t>住宿天数</w:t>
            </w:r>
          </w:p>
        </w:tc>
        <w:tc>
          <w:tcPr>
            <w:tcW w:w="7195" w:type="dxa"/>
            <w:vAlign w:val="center"/>
          </w:tcPr>
          <w:p w14:paraId="0A8421C8">
            <w:pPr>
              <w:jc w:val="center"/>
            </w:pPr>
            <w:r>
              <w:rPr>
                <w:rFonts w:ascii="宋体" w:hAnsi="宋体" w:eastAsia="宋体"/>
                <w:b w:val="0"/>
                <w:sz w:val="21"/>
              </w:rPr>
              <w:t>5晚（7月18日晚至7月23日晨）</w:t>
            </w:r>
          </w:p>
        </w:tc>
      </w:tr>
      <w:tr w14:paraId="2E3DD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7" w:type="dxa"/>
            <w:vAlign w:val="center"/>
          </w:tcPr>
          <w:p w14:paraId="12E730F4">
            <w:pPr>
              <w:jc w:val="center"/>
            </w:pPr>
            <w:r>
              <w:rPr>
                <w:rFonts w:ascii="宋体" w:hAnsi="宋体" w:eastAsia="宋体"/>
                <w:b w:val="0"/>
                <w:sz w:val="21"/>
              </w:rPr>
              <w:t>间数</w:t>
            </w:r>
          </w:p>
        </w:tc>
        <w:tc>
          <w:tcPr>
            <w:tcW w:w="7195" w:type="dxa"/>
            <w:vAlign w:val="center"/>
          </w:tcPr>
          <w:p w14:paraId="157ECEBC">
            <w:pPr>
              <w:jc w:val="center"/>
            </w:pPr>
            <w:r>
              <w:rPr>
                <w:rFonts w:ascii="宋体" w:hAnsi="宋体" w:eastAsia="宋体"/>
                <w:b w:val="0"/>
                <w:sz w:val="21"/>
              </w:rPr>
              <w:t>约60间</w:t>
            </w:r>
          </w:p>
        </w:tc>
      </w:tr>
    </w:tbl>
    <w:p w14:paraId="43B7ADFA">
      <w:pPr>
        <w:spacing w:after="80" w:line="400" w:lineRule="exact"/>
      </w:pPr>
      <w:r>
        <w:rPr>
          <w:rFonts w:ascii="宋体" w:hAnsi="宋体" w:eastAsia="宋体"/>
          <w:b/>
          <w:sz w:val="24"/>
        </w:rPr>
        <w:t>C. 餐饮服务</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68"/>
        <w:gridCol w:w="7194"/>
      </w:tblGrid>
      <w:tr w14:paraId="028E6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8" w:type="dxa"/>
            <w:shd w:val="clear" w:color="auto" w:fill="4472C4"/>
            <w:vAlign w:val="center"/>
          </w:tcPr>
          <w:p w14:paraId="55090828">
            <w:pPr>
              <w:jc w:val="center"/>
            </w:pPr>
            <w:r>
              <w:rPr>
                <w:rFonts w:ascii="黑体" w:hAnsi="黑体" w:eastAsia="黑体"/>
                <w:b/>
                <w:color w:val="FFFFFF"/>
                <w:sz w:val="21"/>
              </w:rPr>
              <w:t>服务项目</w:t>
            </w:r>
          </w:p>
        </w:tc>
        <w:tc>
          <w:tcPr>
            <w:tcW w:w="7194" w:type="dxa"/>
            <w:shd w:val="clear" w:color="auto" w:fill="4472C4"/>
            <w:vAlign w:val="center"/>
          </w:tcPr>
          <w:p w14:paraId="7677C1C0">
            <w:pPr>
              <w:jc w:val="center"/>
            </w:pPr>
            <w:r>
              <w:rPr>
                <w:rFonts w:ascii="黑体" w:hAnsi="黑体" w:eastAsia="黑体"/>
                <w:b/>
                <w:color w:val="FFFFFF"/>
                <w:sz w:val="21"/>
              </w:rPr>
              <w:t>规格要求</w:t>
            </w:r>
          </w:p>
        </w:tc>
      </w:tr>
      <w:tr w14:paraId="04A8F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8" w:type="dxa"/>
            <w:vAlign w:val="center"/>
          </w:tcPr>
          <w:p w14:paraId="0D575511">
            <w:pPr>
              <w:jc w:val="center"/>
            </w:pPr>
            <w:r>
              <w:rPr>
                <w:rFonts w:ascii="宋体" w:hAnsi="宋体" w:eastAsia="宋体"/>
                <w:b w:val="0"/>
                <w:sz w:val="21"/>
              </w:rPr>
              <w:t>欢迎晚宴</w:t>
            </w:r>
          </w:p>
        </w:tc>
        <w:tc>
          <w:tcPr>
            <w:tcW w:w="7194" w:type="dxa"/>
            <w:vAlign w:val="center"/>
          </w:tcPr>
          <w:p w14:paraId="6C251D66">
            <w:pPr>
              <w:jc w:val="center"/>
            </w:pPr>
            <w:r>
              <w:rPr>
                <w:rFonts w:ascii="宋体" w:hAnsi="宋体" w:eastAsia="宋体"/>
                <w:b w:val="0"/>
                <w:sz w:val="21"/>
              </w:rPr>
              <w:t>100元/人标准，酒店桌餐（7月18日晚）</w:t>
            </w:r>
          </w:p>
        </w:tc>
      </w:tr>
      <w:tr w14:paraId="1E811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8" w:type="dxa"/>
            <w:vAlign w:val="center"/>
          </w:tcPr>
          <w:p w14:paraId="04957B5C">
            <w:pPr>
              <w:jc w:val="center"/>
            </w:pPr>
            <w:r>
              <w:rPr>
                <w:rFonts w:ascii="宋体" w:hAnsi="宋体" w:eastAsia="宋体"/>
                <w:b w:val="0"/>
                <w:sz w:val="21"/>
              </w:rPr>
              <w:t>日常用餐</w:t>
            </w:r>
          </w:p>
        </w:tc>
        <w:tc>
          <w:tcPr>
            <w:tcW w:w="7194" w:type="dxa"/>
            <w:vAlign w:val="center"/>
          </w:tcPr>
          <w:p w14:paraId="6F6130B2">
            <w:pPr>
              <w:jc w:val="center"/>
            </w:pPr>
            <w:r>
              <w:rPr>
                <w:rFonts w:hint="eastAsia"/>
                <w:b w:val="0"/>
                <w:sz w:val="21"/>
                <w:lang w:val="en-US" w:eastAsia="zh-CN"/>
              </w:rPr>
              <w:t>80</w:t>
            </w:r>
            <w:r>
              <w:rPr>
                <w:rFonts w:ascii="宋体" w:hAnsi="宋体" w:eastAsia="宋体"/>
                <w:b w:val="0"/>
                <w:sz w:val="21"/>
              </w:rPr>
              <w:t>元/餐 × 6餐</w:t>
            </w:r>
            <w:r>
              <w:rPr>
                <w:rFonts w:hint="eastAsia"/>
                <w:b w:val="0"/>
                <w:sz w:val="21"/>
                <w:lang w:eastAsia="zh-CN"/>
              </w:rPr>
              <w:t>（</w:t>
            </w:r>
            <w:r>
              <w:rPr>
                <w:rFonts w:ascii="宋体" w:hAnsi="宋体" w:eastAsia="宋体"/>
                <w:b w:val="0"/>
                <w:sz w:val="21"/>
              </w:rPr>
              <w:t>桌餐）</w:t>
            </w:r>
          </w:p>
        </w:tc>
      </w:tr>
      <w:tr w14:paraId="23997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8" w:type="dxa"/>
            <w:vAlign w:val="center"/>
          </w:tcPr>
          <w:p w14:paraId="575CCA1B">
            <w:pPr>
              <w:jc w:val="center"/>
            </w:pPr>
            <w:r>
              <w:rPr>
                <w:rFonts w:ascii="宋体" w:hAnsi="宋体" w:eastAsia="宋体"/>
                <w:b w:val="0"/>
                <w:sz w:val="21"/>
              </w:rPr>
              <w:t>餐饮安全</w:t>
            </w:r>
          </w:p>
        </w:tc>
        <w:tc>
          <w:tcPr>
            <w:tcW w:w="7194" w:type="dxa"/>
            <w:vAlign w:val="center"/>
          </w:tcPr>
          <w:p w14:paraId="27B1BA2C">
            <w:pPr>
              <w:jc w:val="center"/>
            </w:pPr>
            <w:r>
              <w:rPr>
                <w:rFonts w:ascii="宋体" w:hAnsi="宋体" w:eastAsia="宋体"/>
                <w:b w:val="0"/>
                <w:sz w:val="21"/>
              </w:rPr>
              <w:t>所有餐饮场所须具备食品经营许可证，保障食品安全</w:t>
            </w:r>
          </w:p>
        </w:tc>
      </w:tr>
    </w:tbl>
    <w:p w14:paraId="46CF0939">
      <w:pPr>
        <w:spacing w:after="80" w:line="400" w:lineRule="exact"/>
      </w:pPr>
      <w:r>
        <w:rPr>
          <w:rFonts w:ascii="宋体" w:hAnsi="宋体" w:eastAsia="宋体"/>
          <w:b/>
          <w:sz w:val="24"/>
        </w:rPr>
        <w:t>D. 考察点对接服务</w:t>
      </w:r>
    </w:p>
    <w:tbl>
      <w:tblPr>
        <w:tblStyle w:val="33"/>
        <w:tblW w:w="86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88"/>
        <w:gridCol w:w="4729"/>
      </w:tblGrid>
      <w:tr w14:paraId="31743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3888" w:type="dxa"/>
            <w:shd w:val="clear" w:color="auto" w:fill="4472C4"/>
            <w:vAlign w:val="center"/>
          </w:tcPr>
          <w:p w14:paraId="7CE639CD">
            <w:pPr>
              <w:keepNext/>
              <w:snapToGrid w:val="0"/>
              <w:spacing w:line="240" w:lineRule="auto"/>
              <w:ind w:left="0" w:leftChars="0" w:right="0" w:rightChars="0" w:firstLine="0" w:firstLineChars="0"/>
              <w:jc w:val="center"/>
              <w:rPr>
                <w:rFonts w:ascii="黑体" w:eastAsia="黑体"/>
                <w:b/>
                <w:sz w:val="21"/>
              </w:rPr>
            </w:pPr>
            <w:r>
              <w:rPr>
                <w:rFonts w:ascii="黑体" w:hAnsi="黑体" w:eastAsia="黑体"/>
                <w:b/>
                <w:color w:val="FFFFFF"/>
                <w:sz w:val="21"/>
              </w:rPr>
              <w:t>考察点</w:t>
            </w:r>
          </w:p>
        </w:tc>
        <w:tc>
          <w:tcPr>
            <w:tcW w:w="4729" w:type="dxa"/>
            <w:shd w:val="clear" w:color="auto" w:fill="4472C4"/>
            <w:vAlign w:val="center"/>
          </w:tcPr>
          <w:p w14:paraId="60B0AB1C">
            <w:pPr>
              <w:keepNext/>
              <w:snapToGrid w:val="0"/>
              <w:spacing w:line="240" w:lineRule="auto"/>
              <w:ind w:left="0" w:leftChars="0" w:right="0" w:rightChars="0" w:firstLine="0" w:firstLineChars="0"/>
              <w:jc w:val="center"/>
              <w:rPr>
                <w:rFonts w:ascii="黑体" w:eastAsia="黑体"/>
                <w:b/>
                <w:sz w:val="21"/>
              </w:rPr>
            </w:pPr>
            <w:r>
              <w:rPr>
                <w:rFonts w:ascii="黑体" w:hAnsi="黑体" w:eastAsia="黑体"/>
                <w:b/>
                <w:color w:val="FFFFFF"/>
                <w:sz w:val="21"/>
              </w:rPr>
              <w:t>服务内容</w:t>
            </w:r>
          </w:p>
        </w:tc>
      </w:tr>
      <w:tr w14:paraId="206A4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888" w:type="dxa"/>
            <w:vAlign w:val="center"/>
          </w:tcPr>
          <w:p w14:paraId="3E1C9C00">
            <w:pPr>
              <w:keepNext/>
              <w:snapToGrid w:val="0"/>
              <w:spacing w:line="240" w:lineRule="auto"/>
              <w:ind w:left="0" w:leftChars="0" w:right="0" w:rightChars="0" w:firstLine="0" w:firstLineChars="0"/>
              <w:jc w:val="left"/>
              <w:rPr>
                <w:rFonts w:ascii="宋体" w:eastAsia="宋体"/>
                <w:sz w:val="21"/>
              </w:rPr>
            </w:pPr>
            <w:r>
              <w:rPr>
                <w:rFonts w:ascii="宋体" w:hAnsi="宋体" w:eastAsia="宋体"/>
                <w:b w:val="0"/>
                <w:sz w:val="21"/>
              </w:rPr>
              <w:t>阿里巴巴西溪园区</w:t>
            </w:r>
          </w:p>
        </w:tc>
        <w:tc>
          <w:tcPr>
            <w:tcW w:w="4729" w:type="dxa"/>
            <w:vAlign w:val="center"/>
          </w:tcPr>
          <w:p w14:paraId="4AF7B112">
            <w:pPr>
              <w:keepNext/>
              <w:snapToGrid w:val="0"/>
              <w:spacing w:line="240" w:lineRule="auto"/>
              <w:ind w:left="0" w:leftChars="0" w:right="0" w:rightChars="0" w:firstLine="0" w:firstLineChars="0"/>
              <w:jc w:val="left"/>
              <w:rPr>
                <w:rFonts w:ascii="宋体" w:eastAsia="宋体"/>
                <w:sz w:val="21"/>
              </w:rPr>
            </w:pPr>
            <w:r>
              <w:rPr>
                <w:rFonts w:ascii="宋体" w:hAnsi="宋体" w:eastAsia="宋体"/>
                <w:b w:val="0"/>
                <w:sz w:val="21"/>
              </w:rPr>
              <w:t>参观+讲座</w:t>
            </w:r>
          </w:p>
        </w:tc>
      </w:tr>
      <w:tr w14:paraId="101FF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888" w:type="dxa"/>
            <w:vAlign w:val="center"/>
          </w:tcPr>
          <w:p w14:paraId="2496772A">
            <w:pPr>
              <w:keepNext/>
              <w:snapToGrid w:val="0"/>
              <w:spacing w:line="240" w:lineRule="auto"/>
              <w:ind w:left="0" w:leftChars="0" w:right="0" w:rightChars="0" w:firstLine="0" w:firstLineChars="0"/>
              <w:jc w:val="left"/>
              <w:rPr>
                <w:rFonts w:ascii="宋体" w:eastAsia="宋体"/>
                <w:sz w:val="21"/>
              </w:rPr>
            </w:pPr>
            <w:r>
              <w:rPr>
                <w:rFonts w:ascii="宋体" w:hAnsi="宋体" w:eastAsia="宋体"/>
                <w:b w:val="0"/>
                <w:sz w:val="21"/>
              </w:rPr>
              <w:t>杭州六小龙科创展厅</w:t>
            </w:r>
          </w:p>
        </w:tc>
        <w:tc>
          <w:tcPr>
            <w:tcW w:w="4729" w:type="dxa"/>
            <w:vAlign w:val="center"/>
          </w:tcPr>
          <w:p w14:paraId="1C789D3E">
            <w:pPr>
              <w:keepNext/>
              <w:snapToGrid w:val="0"/>
              <w:spacing w:line="240" w:lineRule="auto"/>
              <w:ind w:left="0" w:leftChars="0" w:right="0" w:rightChars="0" w:firstLine="0" w:firstLineChars="0"/>
              <w:jc w:val="left"/>
              <w:rPr>
                <w:rFonts w:ascii="宋体" w:eastAsia="宋体"/>
                <w:sz w:val="21"/>
              </w:rPr>
            </w:pPr>
            <w:r>
              <w:rPr>
                <w:rFonts w:ascii="宋体" w:hAnsi="宋体" w:eastAsia="宋体"/>
                <w:b w:val="0"/>
                <w:sz w:val="21"/>
              </w:rPr>
              <w:t>参观讲解</w:t>
            </w:r>
          </w:p>
        </w:tc>
      </w:tr>
      <w:tr w14:paraId="2EC9E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888" w:type="dxa"/>
            <w:vAlign w:val="center"/>
          </w:tcPr>
          <w:p w14:paraId="6A3AB87E">
            <w:pPr>
              <w:keepNext/>
              <w:snapToGrid w:val="0"/>
              <w:spacing w:line="240" w:lineRule="auto"/>
              <w:ind w:left="0" w:leftChars="0" w:right="0" w:rightChars="0" w:firstLine="0" w:firstLineChars="0"/>
              <w:jc w:val="left"/>
              <w:rPr>
                <w:rFonts w:ascii="宋体" w:eastAsia="宋体"/>
                <w:sz w:val="21"/>
              </w:rPr>
            </w:pPr>
            <w:r>
              <w:rPr>
                <w:rFonts w:ascii="宋体" w:hAnsi="宋体" w:eastAsia="宋体"/>
                <w:b w:val="0"/>
                <w:sz w:val="21"/>
              </w:rPr>
              <w:t>宇树科技总部</w:t>
            </w:r>
          </w:p>
        </w:tc>
        <w:tc>
          <w:tcPr>
            <w:tcW w:w="4729" w:type="dxa"/>
            <w:vAlign w:val="center"/>
          </w:tcPr>
          <w:p w14:paraId="0472E968">
            <w:pPr>
              <w:keepNext/>
              <w:snapToGrid w:val="0"/>
              <w:spacing w:line="240" w:lineRule="auto"/>
              <w:ind w:left="0" w:leftChars="0" w:right="0" w:rightChars="0" w:firstLine="0" w:firstLineChars="0"/>
              <w:jc w:val="left"/>
              <w:rPr>
                <w:rFonts w:ascii="宋体" w:eastAsia="宋体"/>
                <w:sz w:val="21"/>
              </w:rPr>
            </w:pPr>
            <w:r>
              <w:rPr>
                <w:rFonts w:ascii="宋体" w:hAnsi="宋体" w:eastAsia="宋体"/>
                <w:b w:val="0"/>
                <w:sz w:val="21"/>
              </w:rPr>
              <w:t>参观+讲解+技术讲座</w:t>
            </w:r>
          </w:p>
        </w:tc>
      </w:tr>
      <w:tr w14:paraId="185FE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888" w:type="dxa"/>
            <w:vAlign w:val="center"/>
          </w:tcPr>
          <w:p w14:paraId="065A5F01">
            <w:pPr>
              <w:keepNext/>
              <w:snapToGrid w:val="0"/>
              <w:spacing w:line="240" w:lineRule="auto"/>
              <w:ind w:left="0" w:leftChars="0" w:right="0" w:rightChars="0" w:firstLine="0" w:firstLineChars="0"/>
              <w:jc w:val="left"/>
              <w:rPr>
                <w:rFonts w:ascii="宋体" w:eastAsia="宋体"/>
                <w:sz w:val="21"/>
              </w:rPr>
            </w:pPr>
            <w:r>
              <w:rPr>
                <w:rFonts w:ascii="宋体" w:hAnsi="宋体" w:eastAsia="宋体"/>
                <w:b w:val="0"/>
                <w:sz w:val="21"/>
              </w:rPr>
              <w:t>人工智能小镇+强脑科技</w:t>
            </w:r>
          </w:p>
        </w:tc>
        <w:tc>
          <w:tcPr>
            <w:tcW w:w="4729" w:type="dxa"/>
            <w:vAlign w:val="center"/>
          </w:tcPr>
          <w:p w14:paraId="12F4468A">
            <w:pPr>
              <w:keepNext/>
              <w:snapToGrid w:val="0"/>
              <w:spacing w:line="240" w:lineRule="auto"/>
              <w:ind w:left="0" w:leftChars="0" w:right="0" w:rightChars="0" w:firstLine="0" w:firstLineChars="0"/>
              <w:jc w:val="left"/>
              <w:rPr>
                <w:rFonts w:ascii="宋体" w:eastAsia="宋体"/>
                <w:sz w:val="21"/>
              </w:rPr>
            </w:pPr>
            <w:r>
              <w:rPr>
                <w:rFonts w:ascii="宋体" w:hAnsi="宋体" w:eastAsia="宋体"/>
                <w:b w:val="0"/>
                <w:sz w:val="21"/>
              </w:rPr>
              <w:t>展厅参观+讲解</w:t>
            </w:r>
          </w:p>
        </w:tc>
      </w:tr>
      <w:tr w14:paraId="6FC6D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888" w:type="dxa"/>
            <w:vAlign w:val="center"/>
          </w:tcPr>
          <w:p w14:paraId="7FD456CC">
            <w:pPr>
              <w:keepNext/>
              <w:snapToGrid w:val="0"/>
              <w:spacing w:line="240" w:lineRule="auto"/>
              <w:ind w:left="0" w:leftChars="0" w:right="0" w:rightChars="0" w:firstLine="0" w:firstLineChars="0"/>
              <w:jc w:val="left"/>
              <w:rPr>
                <w:rFonts w:ascii="宋体" w:eastAsia="宋体"/>
                <w:sz w:val="21"/>
              </w:rPr>
            </w:pPr>
            <w:r>
              <w:rPr>
                <w:rFonts w:ascii="宋体" w:hAnsi="宋体" w:eastAsia="宋体"/>
                <w:b w:val="0"/>
                <w:sz w:val="21"/>
              </w:rPr>
              <w:t>西湖大学</w:t>
            </w:r>
          </w:p>
        </w:tc>
        <w:tc>
          <w:tcPr>
            <w:tcW w:w="4729" w:type="dxa"/>
            <w:vAlign w:val="center"/>
          </w:tcPr>
          <w:p w14:paraId="755A168A">
            <w:pPr>
              <w:keepNext/>
              <w:snapToGrid w:val="0"/>
              <w:spacing w:line="240" w:lineRule="auto"/>
              <w:ind w:left="0" w:leftChars="0" w:right="0" w:rightChars="0" w:firstLine="0" w:firstLineChars="0"/>
              <w:jc w:val="left"/>
              <w:rPr>
                <w:rFonts w:ascii="宋体" w:eastAsia="宋体"/>
                <w:sz w:val="21"/>
              </w:rPr>
            </w:pPr>
            <w:r>
              <w:rPr>
                <w:rFonts w:hint="eastAsia"/>
                <w:b w:val="0"/>
                <w:sz w:val="21"/>
                <w:lang w:val="en-US" w:eastAsia="zh-CN"/>
              </w:rPr>
              <w:t>校园</w:t>
            </w:r>
            <w:r>
              <w:rPr>
                <w:rFonts w:ascii="宋体" w:hAnsi="宋体" w:eastAsia="宋体"/>
                <w:b w:val="0"/>
                <w:sz w:val="21"/>
              </w:rPr>
              <w:t>参观、讲座场地、合影</w:t>
            </w:r>
          </w:p>
        </w:tc>
      </w:tr>
    </w:tbl>
    <w:p w14:paraId="1EF0B88F">
      <w:pPr>
        <w:spacing w:after="80" w:line="400" w:lineRule="exact"/>
        <w:ind w:firstLine="420"/>
      </w:pPr>
      <w:r>
        <w:rPr>
          <w:rFonts w:ascii="宋体" w:hAnsi="宋体" w:eastAsia="宋体"/>
          <w:b w:val="0"/>
          <w:sz w:val="24"/>
        </w:rPr>
        <w:t>注：以上考察点费用为参考标准，投标人可根据自身资源优势提供更优方案和报价。</w:t>
      </w:r>
    </w:p>
    <w:p w14:paraId="21659113">
      <w:pPr>
        <w:spacing w:after="80" w:line="400" w:lineRule="exact"/>
      </w:pPr>
      <w:r>
        <w:rPr>
          <w:rFonts w:ascii="宋体" w:hAnsi="宋体" w:eastAsia="宋体"/>
          <w:b/>
          <w:sz w:val="24"/>
        </w:rPr>
        <w:t xml:space="preserve">E. </w:t>
      </w:r>
      <w:r>
        <w:rPr>
          <w:rFonts w:hint="eastAsia"/>
          <w:b/>
          <w:sz w:val="24"/>
          <w:lang w:eastAsia="zh-CN"/>
        </w:rPr>
        <w:t>研修</w:t>
      </w:r>
      <w:r>
        <w:rPr>
          <w:rFonts w:ascii="宋体" w:hAnsi="宋体" w:eastAsia="宋体"/>
          <w:b/>
          <w:sz w:val="24"/>
        </w:rPr>
        <w:t>导师及工作人员</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70"/>
        <w:gridCol w:w="7192"/>
      </w:tblGrid>
      <w:tr w14:paraId="48336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70" w:type="dxa"/>
            <w:shd w:val="clear" w:color="auto" w:fill="4472C4"/>
            <w:vAlign w:val="center"/>
          </w:tcPr>
          <w:p w14:paraId="2A7F0C38">
            <w:pPr>
              <w:jc w:val="center"/>
            </w:pPr>
            <w:r>
              <w:rPr>
                <w:rFonts w:ascii="黑体" w:hAnsi="黑体" w:eastAsia="黑体"/>
                <w:b/>
                <w:color w:val="FFFFFF"/>
                <w:sz w:val="21"/>
              </w:rPr>
              <w:t>服务项目</w:t>
            </w:r>
          </w:p>
        </w:tc>
        <w:tc>
          <w:tcPr>
            <w:tcW w:w="7192" w:type="dxa"/>
            <w:shd w:val="clear" w:color="auto" w:fill="4472C4"/>
            <w:vAlign w:val="center"/>
          </w:tcPr>
          <w:p w14:paraId="18C53776">
            <w:pPr>
              <w:jc w:val="center"/>
            </w:pPr>
            <w:r>
              <w:rPr>
                <w:rFonts w:ascii="黑体" w:hAnsi="黑体" w:eastAsia="黑体"/>
                <w:b/>
                <w:color w:val="FFFFFF"/>
                <w:sz w:val="21"/>
              </w:rPr>
              <w:t>规格要求</w:t>
            </w:r>
          </w:p>
        </w:tc>
      </w:tr>
      <w:tr w14:paraId="1A054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70" w:type="dxa"/>
            <w:vAlign w:val="center"/>
          </w:tcPr>
          <w:p w14:paraId="4D9181CC">
            <w:pPr>
              <w:jc w:val="center"/>
            </w:pPr>
            <w:r>
              <w:rPr>
                <w:rFonts w:hint="eastAsia"/>
                <w:b w:val="0"/>
                <w:sz w:val="21"/>
                <w:lang w:eastAsia="zh-CN"/>
              </w:rPr>
              <w:t>研修</w:t>
            </w:r>
            <w:r>
              <w:rPr>
                <w:rFonts w:ascii="宋体" w:hAnsi="宋体" w:eastAsia="宋体"/>
                <w:b w:val="0"/>
                <w:sz w:val="21"/>
              </w:rPr>
              <w:t>导师</w:t>
            </w:r>
          </w:p>
        </w:tc>
        <w:tc>
          <w:tcPr>
            <w:tcW w:w="7192" w:type="dxa"/>
            <w:vAlign w:val="center"/>
          </w:tcPr>
          <w:p w14:paraId="671D0A36">
            <w:pPr>
              <w:jc w:val="center"/>
            </w:pPr>
            <w:r>
              <w:rPr>
                <w:rFonts w:ascii="宋体" w:hAnsi="宋体" w:eastAsia="宋体"/>
                <w:b w:val="0"/>
                <w:sz w:val="21"/>
              </w:rPr>
              <w:t>配备专业</w:t>
            </w:r>
            <w:r>
              <w:rPr>
                <w:rFonts w:hint="eastAsia"/>
                <w:b w:val="0"/>
                <w:sz w:val="21"/>
                <w:lang w:eastAsia="zh-CN"/>
              </w:rPr>
              <w:t>研修</w:t>
            </w:r>
            <w:r>
              <w:rPr>
                <w:rFonts w:ascii="宋体" w:hAnsi="宋体" w:eastAsia="宋体"/>
                <w:b w:val="0"/>
                <w:sz w:val="21"/>
              </w:rPr>
              <w:t>导师，3天+接站送站，负责全程讲解、活动组织与学员管理</w:t>
            </w:r>
          </w:p>
        </w:tc>
      </w:tr>
      <w:tr w14:paraId="79EB0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70" w:type="dxa"/>
            <w:vAlign w:val="center"/>
          </w:tcPr>
          <w:p w14:paraId="06D23B08">
            <w:pPr>
              <w:jc w:val="center"/>
            </w:pPr>
            <w:r>
              <w:rPr>
                <w:rFonts w:ascii="宋体" w:hAnsi="宋体" w:eastAsia="宋体"/>
                <w:b w:val="0"/>
                <w:sz w:val="21"/>
              </w:rPr>
              <w:t>摄影师</w:t>
            </w:r>
          </w:p>
        </w:tc>
        <w:tc>
          <w:tcPr>
            <w:tcW w:w="7192" w:type="dxa"/>
            <w:vAlign w:val="center"/>
          </w:tcPr>
          <w:p w14:paraId="658F26F6">
            <w:pPr>
              <w:jc w:val="center"/>
            </w:pPr>
            <w:r>
              <w:rPr>
                <w:rFonts w:ascii="宋体" w:hAnsi="宋体" w:eastAsia="宋体"/>
                <w:b w:val="0"/>
                <w:sz w:val="21"/>
              </w:rPr>
              <w:t>专业摄影师1名，3天，提供活动全程摄影记录</w:t>
            </w:r>
          </w:p>
        </w:tc>
      </w:tr>
      <w:tr w14:paraId="08E9D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70" w:type="dxa"/>
            <w:vAlign w:val="center"/>
          </w:tcPr>
          <w:p w14:paraId="0C3E1A47">
            <w:pPr>
              <w:jc w:val="center"/>
            </w:pPr>
            <w:r>
              <w:rPr>
                <w:rFonts w:ascii="宋体" w:hAnsi="宋体" w:eastAsia="宋体"/>
                <w:b w:val="0"/>
                <w:sz w:val="21"/>
              </w:rPr>
              <w:t>耳麦</w:t>
            </w:r>
          </w:p>
        </w:tc>
        <w:tc>
          <w:tcPr>
            <w:tcW w:w="7192" w:type="dxa"/>
            <w:vAlign w:val="center"/>
          </w:tcPr>
          <w:p w14:paraId="19F018DD">
            <w:pPr>
              <w:jc w:val="center"/>
            </w:pPr>
            <w:r>
              <w:rPr>
                <w:rFonts w:hint="eastAsia"/>
                <w:b w:val="0"/>
                <w:sz w:val="21"/>
                <w:lang w:val="en-US" w:eastAsia="zh-CN"/>
              </w:rPr>
              <w:t>2</w:t>
            </w:r>
            <w:r>
              <w:rPr>
                <w:rFonts w:ascii="宋体" w:hAnsi="宋体" w:eastAsia="宋体"/>
                <w:b w:val="0"/>
                <w:sz w:val="21"/>
              </w:rPr>
              <w:t>天，便于讲解和活动组织</w:t>
            </w:r>
          </w:p>
        </w:tc>
      </w:tr>
    </w:tbl>
    <w:p w14:paraId="4BCFD654">
      <w:pPr>
        <w:spacing w:after="80" w:line="400" w:lineRule="exact"/>
      </w:pPr>
      <w:r>
        <w:rPr>
          <w:rFonts w:ascii="宋体" w:hAnsi="宋体" w:eastAsia="宋体"/>
          <w:b/>
          <w:sz w:val="24"/>
        </w:rPr>
        <w:t>F. 其他服务</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68"/>
        <w:gridCol w:w="7194"/>
      </w:tblGrid>
      <w:tr w14:paraId="60EC4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8" w:type="dxa"/>
            <w:shd w:val="clear" w:color="auto" w:fill="4472C4"/>
            <w:vAlign w:val="center"/>
          </w:tcPr>
          <w:p w14:paraId="218938C8">
            <w:pPr>
              <w:jc w:val="center"/>
            </w:pPr>
            <w:r>
              <w:rPr>
                <w:rFonts w:ascii="黑体" w:hAnsi="黑体" w:eastAsia="黑体"/>
                <w:b/>
                <w:color w:val="FFFFFF"/>
                <w:sz w:val="21"/>
              </w:rPr>
              <w:t>服务项目</w:t>
            </w:r>
          </w:p>
        </w:tc>
        <w:tc>
          <w:tcPr>
            <w:tcW w:w="7194" w:type="dxa"/>
            <w:shd w:val="clear" w:color="auto" w:fill="4472C4"/>
            <w:vAlign w:val="center"/>
          </w:tcPr>
          <w:p w14:paraId="5FBE5E64">
            <w:pPr>
              <w:jc w:val="center"/>
            </w:pPr>
            <w:r>
              <w:rPr>
                <w:rFonts w:ascii="黑体" w:hAnsi="黑体" w:eastAsia="黑体"/>
                <w:b/>
                <w:color w:val="FFFFFF"/>
                <w:sz w:val="21"/>
              </w:rPr>
              <w:t>规格要求</w:t>
            </w:r>
          </w:p>
        </w:tc>
      </w:tr>
      <w:tr w14:paraId="42E62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8" w:type="dxa"/>
            <w:vAlign w:val="center"/>
          </w:tcPr>
          <w:p w14:paraId="533DD40F">
            <w:pPr>
              <w:jc w:val="center"/>
            </w:pPr>
            <w:r>
              <w:rPr>
                <w:rFonts w:ascii="宋体" w:hAnsi="宋体" w:eastAsia="宋体"/>
                <w:b w:val="0"/>
                <w:sz w:val="21"/>
              </w:rPr>
              <w:t>意外保险</w:t>
            </w:r>
          </w:p>
        </w:tc>
        <w:tc>
          <w:tcPr>
            <w:tcW w:w="7194" w:type="dxa"/>
            <w:vAlign w:val="center"/>
          </w:tcPr>
          <w:p w14:paraId="3141AD78">
            <w:pPr>
              <w:jc w:val="center"/>
            </w:pPr>
            <w:r>
              <w:rPr>
                <w:rFonts w:ascii="宋体" w:hAnsi="宋体" w:eastAsia="宋体"/>
                <w:b w:val="0"/>
                <w:sz w:val="21"/>
              </w:rPr>
              <w:t>为全体学员购买旅行意外保险</w:t>
            </w:r>
          </w:p>
        </w:tc>
      </w:tr>
    </w:tbl>
    <w:p w14:paraId="414BDA08">
      <w:pPr>
        <w:spacing w:after="80" w:line="400" w:lineRule="exact"/>
      </w:pPr>
      <w:r>
        <w:rPr>
          <w:rFonts w:ascii="宋体" w:hAnsi="宋体" w:eastAsia="宋体"/>
          <w:b/>
          <w:sz w:val="24"/>
        </w:rPr>
        <w:t>4. 服务标准总体要求</w:t>
      </w:r>
    </w:p>
    <w:p w14:paraId="23E59308">
      <w:pPr>
        <w:spacing w:after="80" w:line="400" w:lineRule="exact"/>
      </w:pPr>
      <w:r>
        <w:rPr>
          <w:rFonts w:ascii="宋体" w:hAnsi="宋体" w:eastAsia="宋体"/>
          <w:b w:val="0"/>
          <w:sz w:val="24"/>
        </w:rPr>
        <w:t>（1）交通车辆须车况良好、证照齐全、保险完备，驾驶员驾龄5年以上且无重大事故记录。</w:t>
      </w:r>
    </w:p>
    <w:p w14:paraId="7276445B">
      <w:pPr>
        <w:spacing w:after="80" w:line="400" w:lineRule="exact"/>
      </w:pPr>
      <w:r>
        <w:rPr>
          <w:rFonts w:ascii="宋体" w:hAnsi="宋体" w:eastAsia="宋体"/>
          <w:b w:val="0"/>
          <w:sz w:val="24"/>
        </w:rPr>
        <w:t>（2）住宿酒店须为携程4钻及以上标准，位置便利，安全卫生。</w:t>
      </w:r>
    </w:p>
    <w:p w14:paraId="22CDD115">
      <w:pPr>
        <w:spacing w:after="80" w:line="400" w:lineRule="exact"/>
      </w:pPr>
      <w:r>
        <w:rPr>
          <w:rFonts w:ascii="宋体" w:hAnsi="宋体" w:eastAsia="宋体"/>
          <w:b w:val="0"/>
          <w:sz w:val="24"/>
        </w:rPr>
        <w:t>（3）餐饮须保障食品安全，荤素搭配合理，满足</w:t>
      </w:r>
      <w:r>
        <w:rPr>
          <w:rFonts w:hint="eastAsia" w:ascii="宋体" w:hAnsi="宋体" w:eastAsia="宋体"/>
          <w:b w:val="0"/>
          <w:sz w:val="24"/>
        </w:rPr>
        <w:t>140人</w:t>
      </w:r>
      <w:r>
        <w:rPr>
          <w:rFonts w:ascii="宋体" w:hAnsi="宋体" w:eastAsia="宋体"/>
          <w:b w:val="0"/>
          <w:sz w:val="24"/>
        </w:rPr>
        <w:t>同时用餐需求。</w:t>
      </w:r>
    </w:p>
    <w:p w14:paraId="794ED415">
      <w:pPr>
        <w:spacing w:after="80" w:line="400" w:lineRule="exact"/>
      </w:pPr>
      <w:r>
        <w:rPr>
          <w:rFonts w:ascii="宋体" w:hAnsi="宋体" w:eastAsia="宋体"/>
          <w:b w:val="0"/>
          <w:sz w:val="24"/>
        </w:rPr>
        <w:t>（4）考察点须提前对接确认，确保参访行程顺利，内容丰富。</w:t>
      </w:r>
    </w:p>
    <w:p w14:paraId="7F46B85A">
      <w:pPr>
        <w:spacing w:after="80" w:line="400" w:lineRule="exact"/>
      </w:pPr>
      <w:r>
        <w:rPr>
          <w:rFonts w:ascii="宋体" w:hAnsi="宋体" w:eastAsia="宋体"/>
          <w:b w:val="0"/>
          <w:sz w:val="24"/>
        </w:rPr>
        <w:t>（5）</w:t>
      </w:r>
      <w:r>
        <w:rPr>
          <w:rFonts w:hint="eastAsia"/>
          <w:b w:val="0"/>
          <w:sz w:val="24"/>
          <w:lang w:eastAsia="zh-CN"/>
        </w:rPr>
        <w:t>研修</w:t>
      </w:r>
      <w:r>
        <w:rPr>
          <w:rFonts w:ascii="宋体" w:hAnsi="宋体" w:eastAsia="宋体"/>
          <w:b w:val="0"/>
          <w:sz w:val="24"/>
        </w:rPr>
        <w:t>导师须具备</w:t>
      </w:r>
      <w:r>
        <w:rPr>
          <w:rFonts w:hint="eastAsia"/>
          <w:b w:val="0"/>
          <w:sz w:val="24"/>
          <w:lang w:eastAsia="zh-CN"/>
        </w:rPr>
        <w:t>研修</w:t>
      </w:r>
      <w:r>
        <w:rPr>
          <w:rFonts w:ascii="宋体" w:hAnsi="宋体" w:eastAsia="宋体"/>
          <w:b w:val="0"/>
          <w:sz w:val="24"/>
        </w:rPr>
        <w:t>旅行指导师资质或丰富</w:t>
      </w:r>
      <w:r>
        <w:rPr>
          <w:rFonts w:hint="eastAsia"/>
          <w:b w:val="0"/>
          <w:sz w:val="24"/>
          <w:lang w:eastAsia="zh-CN"/>
        </w:rPr>
        <w:t>研修</w:t>
      </w:r>
      <w:r>
        <w:rPr>
          <w:rFonts w:ascii="宋体" w:hAnsi="宋体" w:eastAsia="宋体"/>
          <w:b w:val="0"/>
          <w:sz w:val="24"/>
        </w:rPr>
        <w:t>带队经验。</w:t>
      </w:r>
    </w:p>
    <w:p w14:paraId="149DC993">
      <w:pPr>
        <w:spacing w:after="80" w:line="400" w:lineRule="exact"/>
      </w:pPr>
      <w:r>
        <w:rPr>
          <w:rFonts w:ascii="宋体" w:hAnsi="宋体" w:eastAsia="宋体"/>
          <w:b w:val="0"/>
          <w:sz w:val="24"/>
        </w:rPr>
        <w:t>（6）全程配备专业摄影人员，保障活动记录。</w:t>
      </w:r>
    </w:p>
    <w:p w14:paraId="47C2F7B2">
      <w:pPr>
        <w:spacing w:after="80" w:line="400" w:lineRule="exact"/>
      </w:pPr>
      <w:r>
        <w:rPr>
          <w:rFonts w:ascii="宋体" w:hAnsi="宋体" w:eastAsia="宋体"/>
          <w:b w:val="0"/>
          <w:sz w:val="24"/>
        </w:rPr>
        <w:t>（7）全体学员须购买意外保险。</w:t>
      </w:r>
    </w:p>
    <w:p w14:paraId="7DB5E0F3">
      <w:pPr>
        <w:spacing w:after="80" w:line="400" w:lineRule="exact"/>
      </w:pPr>
      <w:r>
        <w:rPr>
          <w:rFonts w:ascii="宋体" w:hAnsi="宋体" w:eastAsia="宋体"/>
          <w:b w:val="0"/>
          <w:sz w:val="24"/>
        </w:rPr>
        <w:t>（8）</w:t>
      </w:r>
      <w:r>
        <w:rPr>
          <w:rFonts w:hint="eastAsia"/>
          <w:b w:val="0"/>
          <w:sz w:val="24"/>
          <w:lang w:val="en-US" w:eastAsia="zh-CN"/>
        </w:rPr>
        <w:t>报价需</w:t>
      </w:r>
      <w:r>
        <w:rPr>
          <w:rFonts w:ascii="宋体" w:hAnsi="宋体" w:eastAsia="宋体"/>
          <w:b w:val="0"/>
          <w:sz w:val="24"/>
        </w:rPr>
        <w:t>含税。</w:t>
      </w:r>
    </w:p>
    <w:p w14:paraId="5CE24171">
      <w:pPr>
        <w:spacing w:after="80" w:line="400" w:lineRule="exact"/>
      </w:pPr>
      <w:r>
        <w:rPr>
          <w:rFonts w:ascii="宋体" w:hAnsi="宋体" w:eastAsia="宋体"/>
          <w:b/>
          <w:sz w:val="24"/>
        </w:rPr>
        <w:t>5. 交付期及验收标准</w:t>
      </w:r>
    </w:p>
    <w:p w14:paraId="13843FE6">
      <w:pPr>
        <w:spacing w:after="80" w:line="400" w:lineRule="exact"/>
      </w:pPr>
      <w:r>
        <w:rPr>
          <w:rFonts w:ascii="宋体" w:hAnsi="宋体" w:eastAsia="宋体"/>
          <w:b w:val="0"/>
          <w:sz w:val="24"/>
        </w:rPr>
        <w:t>交付期：合同签订之日起至活动结束。</w:t>
      </w:r>
    </w:p>
    <w:p w14:paraId="3F23248B">
      <w:pPr>
        <w:spacing w:after="80" w:line="400" w:lineRule="exact"/>
      </w:pPr>
      <w:r>
        <w:rPr>
          <w:rFonts w:ascii="宋体" w:hAnsi="宋体" w:eastAsia="宋体"/>
          <w:b w:val="0"/>
          <w:sz w:val="24"/>
        </w:rPr>
        <w:t>验收标准：</w:t>
      </w:r>
    </w:p>
    <w:p w14:paraId="760A4AB2">
      <w:pPr>
        <w:spacing w:after="80" w:line="400" w:lineRule="exact"/>
      </w:pPr>
      <w:r>
        <w:rPr>
          <w:rFonts w:ascii="宋体" w:hAnsi="宋体" w:eastAsia="宋体"/>
          <w:b w:val="0"/>
          <w:sz w:val="24"/>
        </w:rPr>
        <w:t>（1）按时完成全部活动的交通、住宿、餐饮、考察点对接等服务；</w:t>
      </w:r>
    </w:p>
    <w:p w14:paraId="763E66C7">
      <w:pPr>
        <w:spacing w:after="80" w:line="400" w:lineRule="exact"/>
      </w:pPr>
      <w:r>
        <w:rPr>
          <w:rFonts w:ascii="宋体" w:hAnsi="宋体" w:eastAsia="宋体"/>
          <w:b w:val="0"/>
          <w:sz w:val="24"/>
        </w:rPr>
        <w:t>（2）所有服务项符合本采购需求规定的标准要求；</w:t>
      </w:r>
    </w:p>
    <w:p w14:paraId="17528AE2">
      <w:pPr>
        <w:spacing w:after="80" w:line="400" w:lineRule="exact"/>
      </w:pPr>
      <w:r>
        <w:rPr>
          <w:rFonts w:ascii="宋体" w:hAnsi="宋体" w:eastAsia="宋体"/>
          <w:b w:val="0"/>
          <w:sz w:val="24"/>
        </w:rPr>
        <w:t>（3）活动期间无重大安全事故；</w:t>
      </w:r>
    </w:p>
    <w:p w14:paraId="164AB988">
      <w:pPr>
        <w:spacing w:after="80" w:line="400" w:lineRule="exact"/>
      </w:pPr>
      <w:r>
        <w:rPr>
          <w:rFonts w:ascii="宋体" w:hAnsi="宋体" w:eastAsia="宋体"/>
          <w:b w:val="0"/>
          <w:sz w:val="24"/>
        </w:rPr>
        <w:t>（4）学员满意度调查达到</w:t>
      </w:r>
      <w:r>
        <w:rPr>
          <w:rFonts w:hint="eastAsia"/>
          <w:b w:val="0"/>
          <w:sz w:val="24"/>
          <w:lang w:val="en-US" w:eastAsia="zh-CN"/>
        </w:rPr>
        <w:t>90</w:t>
      </w:r>
      <w:r>
        <w:rPr>
          <w:rFonts w:ascii="宋体" w:hAnsi="宋体" w:eastAsia="宋体"/>
          <w:b w:val="0"/>
          <w:sz w:val="24"/>
        </w:rPr>
        <w:t>%以上；</w:t>
      </w:r>
    </w:p>
    <w:p w14:paraId="6B18F478">
      <w:pPr>
        <w:spacing w:after="80" w:line="400" w:lineRule="exact"/>
      </w:pPr>
      <w:r>
        <w:rPr>
          <w:rFonts w:ascii="宋体" w:hAnsi="宋体" w:eastAsia="宋体"/>
          <w:b w:val="0"/>
          <w:sz w:val="24"/>
        </w:rPr>
        <w:t>（5）提供完整的活动影像资料。</w:t>
      </w:r>
    </w:p>
    <w:p w14:paraId="71E4F9FA">
      <w:r>
        <w:br w:type="page"/>
      </w:r>
    </w:p>
    <w:p w14:paraId="39488244">
      <w:pPr>
        <w:jc w:val="center"/>
      </w:pPr>
      <w:r>
        <w:rPr>
          <w:rFonts w:ascii="黑体" w:hAnsi="黑体" w:eastAsia="黑体"/>
          <w:b/>
          <w:sz w:val="32"/>
        </w:rPr>
        <w:t>五、评定成交标准</w:t>
      </w:r>
    </w:p>
    <w:p w14:paraId="0AD8C861">
      <w:pPr>
        <w:jc w:val="left"/>
      </w:pPr>
      <w:r>
        <w:rPr>
          <w:rFonts w:ascii="黑体" w:hAnsi="黑体" w:eastAsia="黑体"/>
          <w:b/>
          <w:sz w:val="28"/>
        </w:rPr>
        <w:t>1. 评标方法</w:t>
      </w:r>
    </w:p>
    <w:p w14:paraId="09D1A9A7">
      <w:pPr>
        <w:spacing w:after="80" w:line="400" w:lineRule="exact"/>
        <w:ind w:firstLine="420"/>
      </w:pPr>
      <w:r>
        <w:rPr>
          <w:rFonts w:ascii="宋体" w:hAnsi="宋体" w:eastAsia="宋体"/>
          <w:b w:val="0"/>
          <w:sz w:val="24"/>
        </w:rPr>
        <w:t>本次评标采用综合评分法，将参选人的商务、技术水平、价格等各项因素作为评价的基础，综合评选出最佳投标方案。每一参选人的最终得分为所有评委给其评分的算数平均值。评审委员会共同认定的客观分评审部分，需评委会成员共同讨论、独立打分，存在不同意见的，评委会成员分别作出书面说明。评审后得分由高到低顺序排列，评出综合评审最优的参选人。若得分相同的，按投标报价由低到高顺序排列；得分且投标报价相同的，按技术服务指标优劣顺序排列。</w:t>
      </w:r>
    </w:p>
    <w:p w14:paraId="1E1E102C">
      <w:pPr>
        <w:spacing w:after="80" w:line="400" w:lineRule="exact"/>
        <w:ind w:firstLine="420"/>
      </w:pPr>
      <w:r>
        <w:rPr>
          <w:rFonts w:ascii="宋体" w:hAnsi="宋体" w:eastAsia="宋体"/>
          <w:b w:val="0"/>
          <w:sz w:val="24"/>
        </w:rPr>
        <w:t>评标过程中，不得去掉报价中的最高报价和最低报价。</w:t>
      </w:r>
    </w:p>
    <w:p w14:paraId="0564C4FD">
      <w:pPr>
        <w:jc w:val="left"/>
      </w:pPr>
      <w:r>
        <w:rPr>
          <w:rFonts w:ascii="黑体" w:hAnsi="黑体" w:eastAsia="黑体"/>
          <w:b/>
          <w:sz w:val="28"/>
        </w:rPr>
        <w:t>2. 评分标准</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30"/>
        <w:gridCol w:w="4432"/>
      </w:tblGrid>
      <w:tr w14:paraId="61081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35" w:type="dxa"/>
            <w:shd w:val="clear" w:color="auto" w:fill="4472C4"/>
            <w:vAlign w:val="center"/>
          </w:tcPr>
          <w:p w14:paraId="37083AC4">
            <w:pPr>
              <w:jc w:val="center"/>
            </w:pPr>
            <w:r>
              <w:rPr>
                <w:rFonts w:ascii="黑体" w:hAnsi="黑体" w:eastAsia="黑体"/>
                <w:b/>
                <w:color w:val="FFFFFF"/>
                <w:sz w:val="21"/>
              </w:rPr>
              <w:t>评分因素</w:t>
            </w:r>
          </w:p>
        </w:tc>
        <w:tc>
          <w:tcPr>
            <w:tcW w:w="4535" w:type="dxa"/>
            <w:shd w:val="clear" w:color="auto" w:fill="4472C4"/>
            <w:vAlign w:val="center"/>
          </w:tcPr>
          <w:p w14:paraId="6C6F5C6F">
            <w:pPr>
              <w:jc w:val="center"/>
            </w:pPr>
            <w:r>
              <w:rPr>
                <w:rFonts w:ascii="黑体" w:hAnsi="黑体" w:eastAsia="黑体"/>
                <w:b/>
                <w:color w:val="FFFFFF"/>
                <w:sz w:val="21"/>
              </w:rPr>
              <w:t>分值分配</w:t>
            </w:r>
          </w:p>
        </w:tc>
      </w:tr>
      <w:tr w14:paraId="21F08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35" w:type="dxa"/>
            <w:vAlign w:val="center"/>
          </w:tcPr>
          <w:p w14:paraId="2244A78A">
            <w:pPr>
              <w:jc w:val="center"/>
            </w:pPr>
            <w:r>
              <w:rPr>
                <w:rFonts w:ascii="宋体" w:hAnsi="宋体" w:eastAsia="宋体"/>
                <w:b w:val="0"/>
                <w:sz w:val="21"/>
              </w:rPr>
              <w:t>价格</w:t>
            </w:r>
          </w:p>
        </w:tc>
        <w:tc>
          <w:tcPr>
            <w:tcW w:w="4535" w:type="dxa"/>
            <w:vAlign w:val="center"/>
          </w:tcPr>
          <w:p w14:paraId="417D3608">
            <w:pPr>
              <w:jc w:val="center"/>
            </w:pPr>
            <w:r>
              <w:rPr>
                <w:rFonts w:ascii="宋体" w:hAnsi="宋体" w:eastAsia="宋体"/>
                <w:b w:val="0"/>
                <w:sz w:val="21"/>
              </w:rPr>
              <w:t>20分</w:t>
            </w:r>
          </w:p>
        </w:tc>
      </w:tr>
      <w:tr w14:paraId="32BDF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35" w:type="dxa"/>
            <w:vAlign w:val="center"/>
          </w:tcPr>
          <w:p w14:paraId="783E40A8">
            <w:pPr>
              <w:jc w:val="center"/>
            </w:pPr>
            <w:r>
              <w:rPr>
                <w:rFonts w:ascii="宋体" w:hAnsi="宋体" w:eastAsia="宋体"/>
                <w:b w:val="0"/>
                <w:sz w:val="21"/>
              </w:rPr>
              <w:t>技术部分</w:t>
            </w:r>
          </w:p>
        </w:tc>
        <w:tc>
          <w:tcPr>
            <w:tcW w:w="4535" w:type="dxa"/>
            <w:vAlign w:val="center"/>
          </w:tcPr>
          <w:p w14:paraId="63488B58">
            <w:pPr>
              <w:jc w:val="center"/>
            </w:pPr>
            <w:r>
              <w:rPr>
                <w:rFonts w:ascii="宋体" w:hAnsi="宋体" w:eastAsia="宋体"/>
                <w:b w:val="0"/>
                <w:sz w:val="21"/>
              </w:rPr>
              <w:t>55分</w:t>
            </w:r>
          </w:p>
        </w:tc>
      </w:tr>
      <w:tr w14:paraId="16248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35" w:type="dxa"/>
            <w:vAlign w:val="center"/>
          </w:tcPr>
          <w:p w14:paraId="79E1FD24">
            <w:pPr>
              <w:jc w:val="center"/>
            </w:pPr>
            <w:r>
              <w:rPr>
                <w:rFonts w:ascii="宋体" w:hAnsi="宋体" w:eastAsia="宋体"/>
                <w:b w:val="0"/>
                <w:sz w:val="21"/>
              </w:rPr>
              <w:t>商务部分</w:t>
            </w:r>
          </w:p>
        </w:tc>
        <w:tc>
          <w:tcPr>
            <w:tcW w:w="4535" w:type="dxa"/>
            <w:vAlign w:val="center"/>
          </w:tcPr>
          <w:p w14:paraId="7D1C3006">
            <w:pPr>
              <w:jc w:val="center"/>
            </w:pPr>
            <w:r>
              <w:rPr>
                <w:rFonts w:ascii="宋体" w:hAnsi="宋体" w:eastAsia="宋体"/>
                <w:b w:val="0"/>
                <w:sz w:val="21"/>
              </w:rPr>
              <w:t>25分</w:t>
            </w:r>
          </w:p>
        </w:tc>
      </w:tr>
      <w:tr w14:paraId="329CC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35" w:type="dxa"/>
            <w:vAlign w:val="center"/>
          </w:tcPr>
          <w:p w14:paraId="6F42D9B9">
            <w:pPr>
              <w:jc w:val="center"/>
            </w:pPr>
            <w:r>
              <w:rPr>
                <w:rFonts w:ascii="宋体" w:hAnsi="宋体" w:eastAsia="宋体"/>
                <w:b w:val="0"/>
                <w:sz w:val="21"/>
              </w:rPr>
              <w:t>合  计</w:t>
            </w:r>
          </w:p>
        </w:tc>
        <w:tc>
          <w:tcPr>
            <w:tcW w:w="4535" w:type="dxa"/>
            <w:vAlign w:val="center"/>
          </w:tcPr>
          <w:p w14:paraId="689E5CB0">
            <w:pPr>
              <w:jc w:val="center"/>
            </w:pPr>
            <w:r>
              <w:rPr>
                <w:rFonts w:ascii="宋体" w:hAnsi="宋体" w:eastAsia="宋体"/>
                <w:b w:val="0"/>
                <w:sz w:val="21"/>
              </w:rPr>
              <w:t>100分</w:t>
            </w:r>
          </w:p>
        </w:tc>
      </w:tr>
    </w:tbl>
    <w:p w14:paraId="55EDC9C4">
      <w:pPr>
        <w:jc w:val="left"/>
      </w:pPr>
      <w:r>
        <w:rPr>
          <w:rFonts w:ascii="黑体" w:hAnsi="黑体" w:eastAsia="黑体"/>
          <w:b/>
          <w:sz w:val="28"/>
        </w:rPr>
        <w:t>3. 评分细则</w:t>
      </w:r>
    </w:p>
    <w:p w14:paraId="5C1F4A7F">
      <w:pPr>
        <w:spacing w:after="80" w:line="400" w:lineRule="exact"/>
      </w:pPr>
      <w:r>
        <w:rPr>
          <w:rFonts w:ascii="宋体" w:hAnsi="宋体" w:eastAsia="宋体"/>
          <w:b w:val="0"/>
          <w:sz w:val="24"/>
        </w:rPr>
        <w:t>评分分值计算保留小数点后两位，第三位四舍五入。</w:t>
      </w:r>
    </w:p>
    <w:p w14:paraId="518DC8E1">
      <w:pPr>
        <w:spacing w:after="80" w:line="400" w:lineRule="exact"/>
      </w:pPr>
      <w:r>
        <w:rPr>
          <w:rFonts w:ascii="宋体" w:hAnsi="宋体" w:eastAsia="宋体"/>
          <w:b w:val="0"/>
          <w:sz w:val="24"/>
        </w:rPr>
        <w:t>1. 参选人在投标时须提供与以上评分因素相关的材料。如果发现有弄虚作假的，将取消其参选资格。</w:t>
      </w:r>
    </w:p>
    <w:p w14:paraId="43E7FEAC">
      <w:pPr>
        <w:spacing w:after="80" w:line="400" w:lineRule="exact"/>
      </w:pPr>
      <w:r>
        <w:rPr>
          <w:rFonts w:ascii="宋体" w:hAnsi="宋体" w:eastAsia="宋体"/>
          <w:b w:val="0"/>
          <w:sz w:val="24"/>
        </w:rPr>
        <w:t>2. 评委会有权判定明显低于成本的投标是无效投标，经评委会判定合格参选人的报价为无效报价的，将不计入基准价计算。</w:t>
      </w:r>
    </w:p>
    <w:p w14:paraId="4911C4A5"/>
    <w:p w14:paraId="2629B1F9">
      <w:pPr>
        <w:spacing w:after="80" w:line="400" w:lineRule="exact"/>
      </w:pPr>
      <w:r>
        <w:rPr>
          <w:rFonts w:ascii="宋体" w:hAnsi="宋体" w:eastAsia="宋体"/>
          <w:b/>
          <w:sz w:val="24"/>
        </w:rPr>
        <w:t>一、价格部分（20分）</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91"/>
        <w:gridCol w:w="6357"/>
        <w:gridCol w:w="1114"/>
      </w:tblGrid>
      <w:tr w14:paraId="2A76F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417" w:type="dxa"/>
            <w:shd w:val="clear" w:color="auto" w:fill="4472C4"/>
            <w:vAlign w:val="center"/>
          </w:tcPr>
          <w:p w14:paraId="7B67DDE0">
            <w:pPr>
              <w:jc w:val="center"/>
            </w:pPr>
            <w:r>
              <w:rPr>
                <w:rFonts w:ascii="黑体" w:hAnsi="黑体" w:eastAsia="黑体"/>
                <w:b/>
                <w:color w:val="FFFFFF"/>
                <w:sz w:val="21"/>
              </w:rPr>
              <w:t>名称</w:t>
            </w:r>
          </w:p>
        </w:tc>
        <w:tc>
          <w:tcPr>
            <w:tcW w:w="6520" w:type="dxa"/>
            <w:shd w:val="clear" w:color="auto" w:fill="4472C4"/>
            <w:vAlign w:val="center"/>
          </w:tcPr>
          <w:p w14:paraId="7EA2FEA7">
            <w:pPr>
              <w:jc w:val="center"/>
            </w:pPr>
            <w:r>
              <w:rPr>
                <w:rFonts w:ascii="黑体" w:hAnsi="黑体" w:eastAsia="黑体"/>
                <w:b/>
                <w:color w:val="FFFFFF"/>
                <w:sz w:val="21"/>
              </w:rPr>
              <w:t>评审因素及说明</w:t>
            </w:r>
          </w:p>
        </w:tc>
        <w:tc>
          <w:tcPr>
            <w:tcW w:w="1134" w:type="dxa"/>
            <w:shd w:val="clear" w:color="auto" w:fill="4472C4"/>
            <w:vAlign w:val="center"/>
          </w:tcPr>
          <w:p w14:paraId="6327AD5A">
            <w:pPr>
              <w:jc w:val="center"/>
            </w:pPr>
            <w:r>
              <w:rPr>
                <w:rFonts w:ascii="黑体" w:hAnsi="黑体" w:eastAsia="黑体"/>
                <w:b/>
                <w:color w:val="FFFFFF"/>
                <w:sz w:val="21"/>
              </w:rPr>
              <w:t>分值</w:t>
            </w:r>
          </w:p>
        </w:tc>
      </w:tr>
      <w:tr w14:paraId="6A8F3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417" w:type="dxa"/>
            <w:vAlign w:val="center"/>
          </w:tcPr>
          <w:p w14:paraId="5D8C3863">
            <w:pPr>
              <w:jc w:val="center"/>
            </w:pPr>
            <w:r>
              <w:rPr>
                <w:rFonts w:ascii="宋体" w:hAnsi="宋体" w:eastAsia="宋体"/>
                <w:b w:val="0"/>
                <w:sz w:val="21"/>
              </w:rPr>
              <w:t>1.1 价格</w:t>
            </w:r>
          </w:p>
        </w:tc>
        <w:tc>
          <w:tcPr>
            <w:tcW w:w="6520" w:type="dxa"/>
            <w:vAlign w:val="center"/>
          </w:tcPr>
          <w:p w14:paraId="03820EA8">
            <w:pPr>
              <w:jc w:val="center"/>
            </w:pPr>
            <w:r>
              <w:rPr>
                <w:rFonts w:ascii="宋体" w:hAnsi="宋体" w:eastAsia="宋体"/>
                <w:b w:val="0"/>
                <w:sz w:val="21"/>
              </w:rPr>
              <w:t>参选人报价得分＝（评标基准价/投标报价）× 20分。</w:t>
            </w:r>
            <w:r>
              <w:rPr>
                <w:rFonts w:ascii="宋体" w:hAnsi="宋体" w:eastAsia="宋体"/>
                <w:b w:val="0"/>
                <w:sz w:val="21"/>
              </w:rPr>
              <w:br w:type="textWrapping"/>
            </w:r>
            <w:r>
              <w:rPr>
                <w:rFonts w:ascii="宋体" w:hAnsi="宋体" w:eastAsia="宋体"/>
                <w:b w:val="0"/>
                <w:sz w:val="21"/>
              </w:rPr>
              <w:t>注解：</w:t>
            </w:r>
            <w:r>
              <w:rPr>
                <w:rFonts w:ascii="宋体" w:hAnsi="宋体" w:eastAsia="宋体"/>
                <w:b w:val="0"/>
                <w:sz w:val="21"/>
              </w:rPr>
              <w:br w:type="textWrapping"/>
            </w:r>
            <w:r>
              <w:rPr>
                <w:rFonts w:ascii="宋体" w:hAnsi="宋体" w:eastAsia="宋体"/>
                <w:b w:val="0"/>
                <w:sz w:val="21"/>
              </w:rPr>
              <w:t>1. 评标基准价为满足比选文件要求且投标报价最低的有效投标报价；</w:t>
            </w:r>
            <w:r>
              <w:rPr>
                <w:rFonts w:ascii="宋体" w:hAnsi="宋体" w:eastAsia="宋体"/>
                <w:b w:val="0"/>
                <w:sz w:val="21"/>
              </w:rPr>
              <w:br w:type="textWrapping"/>
            </w:r>
            <w:r>
              <w:rPr>
                <w:rFonts w:ascii="宋体" w:hAnsi="宋体" w:eastAsia="宋体"/>
                <w:b w:val="0"/>
                <w:sz w:val="21"/>
              </w:rPr>
              <w:t>2. 投标报价</w:t>
            </w:r>
            <w:r>
              <w:rPr>
                <w:rFonts w:hint="eastAsia"/>
                <w:b w:val="0"/>
                <w:sz w:val="21"/>
                <w:lang w:val="en-US" w:eastAsia="zh-CN"/>
              </w:rPr>
              <w:t>需包含总报价及</w:t>
            </w:r>
            <w:r>
              <w:rPr>
                <w:rFonts w:ascii="宋体" w:hAnsi="宋体" w:eastAsia="宋体"/>
                <w:b w:val="0"/>
                <w:sz w:val="21"/>
              </w:rPr>
              <w:t>人均单价（元/人）。</w:t>
            </w:r>
          </w:p>
        </w:tc>
        <w:tc>
          <w:tcPr>
            <w:tcW w:w="1134" w:type="dxa"/>
            <w:vAlign w:val="center"/>
          </w:tcPr>
          <w:p w14:paraId="5090173F">
            <w:pPr>
              <w:jc w:val="center"/>
            </w:pPr>
            <w:r>
              <w:rPr>
                <w:rFonts w:ascii="宋体" w:hAnsi="宋体" w:eastAsia="宋体"/>
                <w:b w:val="0"/>
                <w:sz w:val="21"/>
              </w:rPr>
              <w:t>20分</w:t>
            </w:r>
          </w:p>
        </w:tc>
      </w:tr>
    </w:tbl>
    <w:p w14:paraId="4CFF6DCF"/>
    <w:p w14:paraId="429E2BD0">
      <w:pPr>
        <w:spacing w:after="80" w:line="400" w:lineRule="exact"/>
      </w:pPr>
      <w:r>
        <w:rPr>
          <w:rFonts w:ascii="宋体" w:hAnsi="宋体" w:eastAsia="宋体"/>
          <w:b/>
          <w:sz w:val="24"/>
        </w:rPr>
        <w:t>二、技术部分（55分）</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92"/>
        <w:gridCol w:w="6356"/>
        <w:gridCol w:w="1114"/>
      </w:tblGrid>
      <w:tr w14:paraId="2AC87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7" w:type="dxa"/>
            <w:shd w:val="clear" w:color="auto" w:fill="4472C4"/>
            <w:vAlign w:val="center"/>
          </w:tcPr>
          <w:p w14:paraId="11EAF727">
            <w:pPr>
              <w:jc w:val="center"/>
            </w:pPr>
            <w:r>
              <w:rPr>
                <w:rFonts w:ascii="黑体" w:hAnsi="黑体" w:eastAsia="黑体"/>
                <w:b/>
                <w:color w:val="FFFFFF"/>
                <w:sz w:val="21"/>
              </w:rPr>
              <w:t>名称</w:t>
            </w:r>
          </w:p>
        </w:tc>
        <w:tc>
          <w:tcPr>
            <w:tcW w:w="6520" w:type="dxa"/>
            <w:shd w:val="clear" w:color="auto" w:fill="4472C4"/>
            <w:vAlign w:val="center"/>
          </w:tcPr>
          <w:p w14:paraId="204B32CC">
            <w:pPr>
              <w:jc w:val="center"/>
            </w:pPr>
            <w:r>
              <w:rPr>
                <w:rFonts w:ascii="黑体" w:hAnsi="黑体" w:eastAsia="黑体"/>
                <w:b/>
                <w:color w:val="FFFFFF"/>
                <w:sz w:val="21"/>
              </w:rPr>
              <w:t>评审因素及说明</w:t>
            </w:r>
          </w:p>
        </w:tc>
        <w:tc>
          <w:tcPr>
            <w:tcW w:w="1134" w:type="dxa"/>
            <w:shd w:val="clear" w:color="auto" w:fill="4472C4"/>
            <w:vAlign w:val="center"/>
          </w:tcPr>
          <w:p w14:paraId="2E054FE7">
            <w:pPr>
              <w:jc w:val="center"/>
            </w:pPr>
            <w:r>
              <w:rPr>
                <w:rFonts w:ascii="黑体" w:hAnsi="黑体" w:eastAsia="黑体"/>
                <w:b/>
                <w:color w:val="FFFFFF"/>
                <w:sz w:val="21"/>
              </w:rPr>
              <w:t>分值</w:t>
            </w:r>
          </w:p>
        </w:tc>
      </w:tr>
      <w:tr w14:paraId="1EB3D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7" w:type="dxa"/>
            <w:vAlign w:val="top"/>
          </w:tcPr>
          <w:p w14:paraId="01589622">
            <w:pPr>
              <w:jc w:val="both"/>
            </w:pPr>
            <w:r>
              <w:rPr>
                <w:rFonts w:ascii="宋体" w:hAnsi="宋体" w:eastAsia="宋体"/>
                <w:b w:val="0"/>
                <w:sz w:val="21"/>
              </w:rPr>
              <w:t>2.1 综合服务方案</w:t>
            </w:r>
          </w:p>
        </w:tc>
        <w:tc>
          <w:tcPr>
            <w:tcW w:w="6520" w:type="dxa"/>
            <w:vAlign w:val="top"/>
          </w:tcPr>
          <w:p w14:paraId="398DD161">
            <w:pPr>
              <w:spacing w:after="80" w:line="400" w:lineRule="exact"/>
              <w:rPr>
                <w:rFonts w:ascii="宋体" w:hAnsi="宋体" w:eastAsia="宋体"/>
                <w:b w:val="0"/>
                <w:sz w:val="21"/>
                <w:szCs w:val="20"/>
              </w:rPr>
            </w:pPr>
            <w:r>
              <w:rPr>
                <w:rFonts w:ascii="宋体" w:hAnsi="宋体" w:eastAsia="宋体"/>
                <w:b w:val="0"/>
                <w:sz w:val="21"/>
                <w:szCs w:val="20"/>
              </w:rPr>
              <w:t>参选人提供的项目整体服务方案，包括交通组织方案、住宿安排方案、餐饮保障方案、现场管理方案等。评审委员会根据方案的科学性、规范性、合理性和可操作性进行评分。</w:t>
            </w:r>
            <w:r>
              <w:rPr>
                <w:rFonts w:ascii="宋体" w:hAnsi="宋体" w:eastAsia="宋体"/>
                <w:b w:val="0"/>
                <w:sz w:val="21"/>
                <w:szCs w:val="20"/>
              </w:rPr>
              <w:br w:type="textWrapping"/>
            </w:r>
            <w:r>
              <w:rPr>
                <w:rFonts w:ascii="宋体" w:hAnsi="宋体" w:eastAsia="宋体"/>
                <w:b w:val="0"/>
                <w:sz w:val="21"/>
                <w:szCs w:val="20"/>
              </w:rPr>
              <w:t>1. 优秀标准：方案科学、先进、规范、合理，完全满足用户的实际需求，得12-15分；</w:t>
            </w:r>
            <w:r>
              <w:rPr>
                <w:rFonts w:ascii="宋体" w:hAnsi="宋体" w:eastAsia="宋体"/>
                <w:b w:val="0"/>
                <w:sz w:val="21"/>
                <w:szCs w:val="20"/>
              </w:rPr>
              <w:br w:type="textWrapping"/>
            </w:r>
            <w:r>
              <w:rPr>
                <w:rFonts w:ascii="宋体" w:hAnsi="宋体" w:eastAsia="宋体"/>
                <w:b w:val="0"/>
                <w:sz w:val="21"/>
                <w:szCs w:val="20"/>
              </w:rPr>
              <w:t>2. 良好标准：方案规范、合理，较好满足用户的需求，得7-11分；</w:t>
            </w:r>
            <w:r>
              <w:rPr>
                <w:rFonts w:ascii="宋体" w:hAnsi="宋体" w:eastAsia="宋体"/>
                <w:b w:val="0"/>
                <w:sz w:val="21"/>
                <w:szCs w:val="20"/>
              </w:rPr>
              <w:br w:type="textWrapping"/>
            </w:r>
            <w:r>
              <w:rPr>
                <w:rFonts w:ascii="宋体" w:hAnsi="宋体" w:eastAsia="宋体"/>
                <w:b w:val="0"/>
                <w:sz w:val="21"/>
                <w:szCs w:val="20"/>
              </w:rPr>
              <w:t>3. 一般标准：方案尚可，基本满足用户的需求，得1-6分。</w:t>
            </w:r>
            <w:r>
              <w:rPr>
                <w:rFonts w:ascii="宋体" w:hAnsi="宋体" w:eastAsia="宋体"/>
                <w:b w:val="0"/>
                <w:sz w:val="21"/>
                <w:szCs w:val="20"/>
              </w:rPr>
              <w:br w:type="textWrapping"/>
            </w:r>
            <w:r>
              <w:rPr>
                <w:rFonts w:ascii="宋体" w:hAnsi="宋体" w:eastAsia="宋体"/>
                <w:b w:val="0"/>
                <w:sz w:val="21"/>
                <w:szCs w:val="20"/>
              </w:rPr>
              <w:t>4. 方案不合理或未提供说明的本项不得分。</w:t>
            </w:r>
          </w:p>
        </w:tc>
        <w:tc>
          <w:tcPr>
            <w:tcW w:w="1134" w:type="dxa"/>
            <w:vAlign w:val="center"/>
          </w:tcPr>
          <w:p w14:paraId="5BD1E99A">
            <w:pPr>
              <w:jc w:val="center"/>
            </w:pPr>
            <w:r>
              <w:rPr>
                <w:rFonts w:ascii="宋体" w:hAnsi="宋体" w:eastAsia="宋体"/>
                <w:b w:val="0"/>
                <w:sz w:val="21"/>
              </w:rPr>
              <w:t>15分</w:t>
            </w:r>
          </w:p>
        </w:tc>
      </w:tr>
      <w:tr w14:paraId="04CFE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7" w:type="dxa"/>
            <w:vAlign w:val="top"/>
          </w:tcPr>
          <w:p w14:paraId="72F9B545">
            <w:pPr>
              <w:jc w:val="both"/>
              <w:rPr>
                <w:rFonts w:hint="eastAsia" w:eastAsia="宋体"/>
                <w:lang w:eastAsia="zh-CN"/>
              </w:rPr>
            </w:pPr>
            <w:r>
              <w:rPr>
                <w:rFonts w:ascii="宋体" w:hAnsi="宋体" w:eastAsia="宋体"/>
                <w:b w:val="0"/>
                <w:sz w:val="21"/>
              </w:rPr>
              <w:t xml:space="preserve">2.2 </w:t>
            </w:r>
            <w:r>
              <w:rPr>
                <w:rFonts w:hint="eastAsia"/>
                <w:b w:val="0"/>
                <w:sz w:val="21"/>
                <w:lang w:val="en-US" w:eastAsia="zh-CN"/>
              </w:rPr>
              <w:t>行程方案</w:t>
            </w:r>
          </w:p>
        </w:tc>
        <w:tc>
          <w:tcPr>
            <w:tcW w:w="6520" w:type="dxa"/>
            <w:vAlign w:val="top"/>
          </w:tcPr>
          <w:p w14:paraId="06FF99AB">
            <w:pPr>
              <w:spacing w:after="80" w:line="400" w:lineRule="exact"/>
              <w:rPr>
                <w:rFonts w:ascii="宋体" w:hAnsi="宋体" w:eastAsia="宋体"/>
                <w:b w:val="0"/>
                <w:sz w:val="21"/>
                <w:szCs w:val="20"/>
              </w:rPr>
            </w:pPr>
            <w:r>
              <w:rPr>
                <w:rFonts w:ascii="宋体" w:hAnsi="宋体" w:eastAsia="宋体"/>
                <w:b w:val="0"/>
                <w:sz w:val="21"/>
                <w:szCs w:val="20"/>
              </w:rPr>
              <w:t>参选人针对本次</w:t>
            </w:r>
            <w:r>
              <w:rPr>
                <w:rFonts w:hint="eastAsia" w:ascii="宋体" w:hAnsi="宋体" w:eastAsia="宋体"/>
                <w:b w:val="0"/>
                <w:sz w:val="21"/>
                <w:szCs w:val="20"/>
                <w:lang w:val="en-US" w:eastAsia="zh-CN"/>
              </w:rPr>
              <w:t>项目设计的行程</w:t>
            </w:r>
            <w:r>
              <w:rPr>
                <w:rFonts w:ascii="宋体" w:hAnsi="宋体" w:eastAsia="宋体"/>
                <w:b w:val="0"/>
                <w:sz w:val="21"/>
                <w:szCs w:val="20"/>
              </w:rPr>
              <w:t>方案。</w:t>
            </w:r>
            <w:r>
              <w:rPr>
                <w:rFonts w:ascii="宋体" w:hAnsi="宋体" w:eastAsia="宋体"/>
                <w:b w:val="0"/>
                <w:sz w:val="21"/>
                <w:szCs w:val="20"/>
              </w:rPr>
              <w:br w:type="textWrapping"/>
            </w:r>
            <w:r>
              <w:rPr>
                <w:rFonts w:ascii="宋体" w:hAnsi="宋体" w:eastAsia="宋体"/>
                <w:b w:val="0"/>
                <w:sz w:val="21"/>
                <w:szCs w:val="20"/>
              </w:rPr>
              <w:t>1. 优秀标准：</w:t>
            </w:r>
            <w:r>
              <w:rPr>
                <w:rFonts w:hint="eastAsia" w:ascii="宋体" w:hAnsi="宋体" w:eastAsia="宋体"/>
                <w:b w:val="0"/>
                <w:sz w:val="21"/>
                <w:szCs w:val="20"/>
                <w:lang w:val="en-US" w:eastAsia="zh-CN"/>
              </w:rPr>
              <w:t>行程</w:t>
            </w:r>
            <w:r>
              <w:rPr>
                <w:rFonts w:ascii="宋体" w:hAnsi="宋体" w:eastAsia="宋体"/>
                <w:b w:val="0"/>
                <w:sz w:val="21"/>
                <w:szCs w:val="20"/>
              </w:rPr>
              <w:t>方案与AI+教育主题高度契合，内容丰富，教育价值突出，得10-12分；</w:t>
            </w:r>
            <w:r>
              <w:rPr>
                <w:rFonts w:ascii="宋体" w:hAnsi="宋体" w:eastAsia="宋体"/>
                <w:b w:val="0"/>
                <w:sz w:val="21"/>
                <w:szCs w:val="20"/>
              </w:rPr>
              <w:br w:type="textWrapping"/>
            </w:r>
            <w:r>
              <w:rPr>
                <w:rFonts w:ascii="宋体" w:hAnsi="宋体" w:eastAsia="宋体"/>
                <w:b w:val="0"/>
                <w:sz w:val="21"/>
                <w:szCs w:val="20"/>
              </w:rPr>
              <w:t>2. 良好标准：课程方案与主题较契合，内容较丰富，得6-9分；</w:t>
            </w:r>
            <w:r>
              <w:rPr>
                <w:rFonts w:ascii="宋体" w:hAnsi="宋体" w:eastAsia="宋体"/>
                <w:b w:val="0"/>
                <w:sz w:val="21"/>
                <w:szCs w:val="20"/>
              </w:rPr>
              <w:br w:type="textWrapping"/>
            </w:r>
            <w:r>
              <w:rPr>
                <w:rFonts w:ascii="宋体" w:hAnsi="宋体" w:eastAsia="宋体"/>
                <w:b w:val="0"/>
                <w:sz w:val="21"/>
                <w:szCs w:val="20"/>
              </w:rPr>
              <w:t>3. 一般标准：课程方案基本可行，内容一般，得1-5分。</w:t>
            </w:r>
            <w:r>
              <w:rPr>
                <w:rFonts w:ascii="宋体" w:hAnsi="宋体" w:eastAsia="宋体"/>
                <w:b w:val="0"/>
                <w:sz w:val="21"/>
                <w:szCs w:val="20"/>
              </w:rPr>
              <w:br w:type="textWrapping"/>
            </w:r>
            <w:r>
              <w:rPr>
                <w:rFonts w:ascii="宋体" w:hAnsi="宋体" w:eastAsia="宋体"/>
                <w:b w:val="0"/>
                <w:sz w:val="21"/>
                <w:szCs w:val="20"/>
              </w:rPr>
              <w:t>4. 未提供不得分。</w:t>
            </w:r>
          </w:p>
        </w:tc>
        <w:tc>
          <w:tcPr>
            <w:tcW w:w="1134" w:type="dxa"/>
            <w:vAlign w:val="center"/>
          </w:tcPr>
          <w:p w14:paraId="61B0CEDD">
            <w:pPr>
              <w:jc w:val="center"/>
            </w:pPr>
            <w:r>
              <w:rPr>
                <w:rFonts w:ascii="宋体" w:hAnsi="宋体" w:eastAsia="宋体"/>
                <w:b w:val="0"/>
                <w:sz w:val="21"/>
              </w:rPr>
              <w:t>12分</w:t>
            </w:r>
          </w:p>
        </w:tc>
      </w:tr>
      <w:tr w14:paraId="74B58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7" w:type="dxa"/>
            <w:vAlign w:val="top"/>
          </w:tcPr>
          <w:p w14:paraId="65D44C2E">
            <w:pPr>
              <w:jc w:val="both"/>
            </w:pPr>
            <w:r>
              <w:rPr>
                <w:rFonts w:ascii="宋体" w:hAnsi="宋体" w:eastAsia="宋体"/>
                <w:b w:val="0"/>
                <w:sz w:val="21"/>
              </w:rPr>
              <w:t>2.3 团队配备方案</w:t>
            </w:r>
          </w:p>
        </w:tc>
        <w:tc>
          <w:tcPr>
            <w:tcW w:w="6520" w:type="dxa"/>
            <w:vAlign w:val="top"/>
          </w:tcPr>
          <w:p w14:paraId="2E8646F4">
            <w:pPr>
              <w:spacing w:after="80" w:line="400" w:lineRule="exact"/>
              <w:rPr>
                <w:rFonts w:ascii="宋体" w:hAnsi="宋体" w:eastAsia="宋体"/>
                <w:b w:val="0"/>
                <w:sz w:val="21"/>
                <w:szCs w:val="20"/>
              </w:rPr>
            </w:pPr>
            <w:r>
              <w:rPr>
                <w:rFonts w:ascii="宋体" w:hAnsi="宋体" w:eastAsia="宋体"/>
                <w:b w:val="0"/>
                <w:sz w:val="21"/>
                <w:szCs w:val="20"/>
              </w:rPr>
              <w:t>参选人拟投入本项目的团队配置，包括</w:t>
            </w:r>
            <w:r>
              <w:rPr>
                <w:rFonts w:hint="eastAsia" w:ascii="宋体" w:hAnsi="宋体" w:eastAsia="宋体"/>
                <w:b w:val="0"/>
                <w:sz w:val="21"/>
                <w:szCs w:val="20"/>
                <w:lang w:val="en-US" w:eastAsia="zh-CN"/>
              </w:rPr>
              <w:t>导游</w:t>
            </w:r>
            <w:r>
              <w:rPr>
                <w:rFonts w:ascii="宋体" w:hAnsi="宋体" w:eastAsia="宋体"/>
                <w:b w:val="0"/>
                <w:sz w:val="21"/>
                <w:szCs w:val="20"/>
              </w:rPr>
              <w:t>、项目经理、执行人员、摄影师等的配备情况。</w:t>
            </w:r>
            <w:r>
              <w:rPr>
                <w:rFonts w:ascii="宋体" w:hAnsi="宋体" w:eastAsia="宋体"/>
                <w:b w:val="0"/>
                <w:sz w:val="21"/>
                <w:szCs w:val="20"/>
              </w:rPr>
              <w:br w:type="textWrapping"/>
            </w:r>
            <w:r>
              <w:rPr>
                <w:rFonts w:ascii="宋体" w:hAnsi="宋体" w:eastAsia="宋体"/>
                <w:b w:val="0"/>
                <w:sz w:val="21"/>
                <w:szCs w:val="20"/>
              </w:rPr>
              <w:t>1. 优秀标准：团队配置齐全，人员资质高，经验丰富，得10-12分；</w:t>
            </w:r>
            <w:r>
              <w:rPr>
                <w:rFonts w:ascii="宋体" w:hAnsi="宋体" w:eastAsia="宋体"/>
                <w:b w:val="0"/>
                <w:sz w:val="21"/>
                <w:szCs w:val="20"/>
              </w:rPr>
              <w:br w:type="textWrapping"/>
            </w:r>
            <w:r>
              <w:rPr>
                <w:rFonts w:ascii="宋体" w:hAnsi="宋体" w:eastAsia="宋体"/>
                <w:b w:val="0"/>
                <w:sz w:val="21"/>
                <w:szCs w:val="20"/>
              </w:rPr>
              <w:t>2. 良好标准：团队配置较齐全，人员资质较好，得6-9分；</w:t>
            </w:r>
            <w:r>
              <w:rPr>
                <w:rFonts w:ascii="宋体" w:hAnsi="宋体" w:eastAsia="宋体"/>
                <w:b w:val="0"/>
                <w:sz w:val="21"/>
                <w:szCs w:val="20"/>
              </w:rPr>
              <w:br w:type="textWrapping"/>
            </w:r>
            <w:r>
              <w:rPr>
                <w:rFonts w:ascii="宋体" w:hAnsi="宋体" w:eastAsia="宋体"/>
                <w:b w:val="0"/>
                <w:sz w:val="21"/>
                <w:szCs w:val="20"/>
              </w:rPr>
              <w:t>3. 一般标准：团队配置基本满足需求，得1-5分。</w:t>
            </w:r>
            <w:r>
              <w:rPr>
                <w:rFonts w:ascii="宋体" w:hAnsi="宋体" w:eastAsia="宋体"/>
                <w:b w:val="0"/>
                <w:sz w:val="21"/>
                <w:szCs w:val="20"/>
              </w:rPr>
              <w:br w:type="textWrapping"/>
            </w:r>
            <w:r>
              <w:rPr>
                <w:rFonts w:ascii="宋体" w:hAnsi="宋体" w:eastAsia="宋体"/>
                <w:b w:val="0"/>
                <w:sz w:val="21"/>
                <w:szCs w:val="20"/>
              </w:rPr>
              <w:t>4. 未提供不得分。</w:t>
            </w:r>
            <w:r>
              <w:rPr>
                <w:rFonts w:ascii="宋体" w:hAnsi="宋体" w:eastAsia="宋体"/>
                <w:b w:val="0"/>
                <w:sz w:val="21"/>
                <w:szCs w:val="20"/>
              </w:rPr>
              <w:br w:type="textWrapping"/>
            </w:r>
            <w:r>
              <w:rPr>
                <w:rFonts w:ascii="宋体" w:hAnsi="宋体" w:eastAsia="宋体"/>
                <w:b w:val="0"/>
                <w:sz w:val="21"/>
                <w:szCs w:val="20"/>
              </w:rPr>
              <w:t>注：须提供团队成员</w:t>
            </w:r>
            <w:r>
              <w:rPr>
                <w:rFonts w:hint="eastAsia" w:ascii="宋体" w:hAnsi="宋体" w:eastAsia="宋体"/>
                <w:b w:val="0"/>
                <w:sz w:val="21"/>
                <w:szCs w:val="20"/>
                <w:lang w:eastAsia="zh-CN"/>
              </w:rPr>
              <w:t>的</w:t>
            </w:r>
            <w:r>
              <w:rPr>
                <w:rFonts w:ascii="宋体" w:hAnsi="宋体" w:eastAsia="宋体"/>
                <w:b w:val="0"/>
                <w:sz w:val="21"/>
                <w:szCs w:val="20"/>
              </w:rPr>
              <w:t>资质证书</w:t>
            </w:r>
            <w:r>
              <w:rPr>
                <w:rFonts w:hint="eastAsia" w:ascii="宋体" w:hAnsi="宋体" w:eastAsia="宋体"/>
                <w:b w:val="0"/>
                <w:sz w:val="21"/>
                <w:szCs w:val="20"/>
                <w:lang w:val="en-US" w:eastAsia="zh-CN"/>
              </w:rPr>
              <w:t>或身份证等</w:t>
            </w:r>
            <w:r>
              <w:rPr>
                <w:rFonts w:ascii="宋体" w:hAnsi="宋体" w:eastAsia="宋体"/>
                <w:b w:val="0"/>
                <w:sz w:val="21"/>
                <w:szCs w:val="20"/>
              </w:rPr>
              <w:t>证明材料复印件并加盖公章。</w:t>
            </w:r>
          </w:p>
        </w:tc>
        <w:tc>
          <w:tcPr>
            <w:tcW w:w="1134" w:type="dxa"/>
            <w:vAlign w:val="center"/>
          </w:tcPr>
          <w:p w14:paraId="01618C22">
            <w:pPr>
              <w:jc w:val="center"/>
            </w:pPr>
            <w:r>
              <w:rPr>
                <w:rFonts w:ascii="宋体" w:hAnsi="宋体" w:eastAsia="宋体"/>
                <w:b w:val="0"/>
                <w:sz w:val="21"/>
              </w:rPr>
              <w:t>12分</w:t>
            </w:r>
          </w:p>
        </w:tc>
      </w:tr>
      <w:tr w14:paraId="42FA3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7" w:type="dxa"/>
            <w:vAlign w:val="top"/>
          </w:tcPr>
          <w:p w14:paraId="3683290F">
            <w:pPr>
              <w:jc w:val="both"/>
            </w:pPr>
            <w:r>
              <w:rPr>
                <w:rFonts w:ascii="宋体" w:hAnsi="宋体" w:eastAsia="宋体"/>
                <w:b w:val="0"/>
                <w:sz w:val="21"/>
              </w:rPr>
              <w:t>2.4 应急预案</w:t>
            </w:r>
          </w:p>
        </w:tc>
        <w:tc>
          <w:tcPr>
            <w:tcW w:w="6520" w:type="dxa"/>
            <w:vAlign w:val="top"/>
          </w:tcPr>
          <w:p w14:paraId="6B6312C2">
            <w:pPr>
              <w:jc w:val="both"/>
            </w:pPr>
            <w:r>
              <w:rPr>
                <w:rFonts w:ascii="宋体" w:hAnsi="宋体" w:eastAsia="宋体"/>
                <w:b w:val="0"/>
                <w:sz w:val="21"/>
              </w:rPr>
              <w:t>参选人提供突发问题应急预案，包括交通事故、意外伤害、突发疾病、极端天气、行程变更、食品安全、企业参访临时调整等应急处理办法。</w:t>
            </w:r>
            <w:r>
              <w:rPr>
                <w:rFonts w:ascii="宋体" w:hAnsi="宋体" w:eastAsia="宋体"/>
                <w:b w:val="0"/>
                <w:sz w:val="21"/>
              </w:rPr>
              <w:br w:type="textWrapping"/>
            </w:r>
            <w:r>
              <w:rPr>
                <w:rFonts w:ascii="宋体" w:hAnsi="宋体" w:eastAsia="宋体"/>
                <w:b w:val="0"/>
                <w:sz w:val="21"/>
              </w:rPr>
              <w:t>1. 优秀标准：应急预案全面、合理、可操作性强，得7-8分；</w:t>
            </w:r>
            <w:r>
              <w:rPr>
                <w:rFonts w:ascii="宋体" w:hAnsi="宋体" w:eastAsia="宋体"/>
                <w:b w:val="0"/>
                <w:sz w:val="21"/>
              </w:rPr>
              <w:br w:type="textWrapping"/>
            </w:r>
            <w:r>
              <w:rPr>
                <w:rFonts w:ascii="宋体" w:hAnsi="宋体" w:eastAsia="宋体"/>
                <w:b w:val="0"/>
                <w:sz w:val="21"/>
              </w:rPr>
              <w:t>2. 良好标准：应急预案较全面、可操作性较好，得4-6分；</w:t>
            </w:r>
            <w:r>
              <w:rPr>
                <w:rFonts w:ascii="宋体" w:hAnsi="宋体" w:eastAsia="宋体"/>
                <w:b w:val="0"/>
                <w:sz w:val="21"/>
              </w:rPr>
              <w:br w:type="textWrapping"/>
            </w:r>
            <w:r>
              <w:rPr>
                <w:rFonts w:ascii="宋体" w:hAnsi="宋体" w:eastAsia="宋体"/>
                <w:b w:val="0"/>
                <w:sz w:val="21"/>
              </w:rPr>
              <w:t>3. 一般标准：应急预案尚可，基本满足要求，得1-3分。</w:t>
            </w:r>
            <w:r>
              <w:rPr>
                <w:rFonts w:ascii="宋体" w:hAnsi="宋体" w:eastAsia="宋体"/>
                <w:b w:val="0"/>
                <w:sz w:val="21"/>
              </w:rPr>
              <w:br w:type="textWrapping"/>
            </w:r>
            <w:r>
              <w:rPr>
                <w:rFonts w:ascii="宋体" w:hAnsi="宋体" w:eastAsia="宋体"/>
                <w:b w:val="0"/>
                <w:sz w:val="21"/>
              </w:rPr>
              <w:t>4. 方案不合理或未提供不得分。</w:t>
            </w:r>
          </w:p>
        </w:tc>
        <w:tc>
          <w:tcPr>
            <w:tcW w:w="1134" w:type="dxa"/>
            <w:vAlign w:val="center"/>
          </w:tcPr>
          <w:p w14:paraId="78D6E517">
            <w:pPr>
              <w:jc w:val="center"/>
            </w:pPr>
            <w:r>
              <w:rPr>
                <w:rFonts w:ascii="宋体" w:hAnsi="宋体" w:eastAsia="宋体"/>
                <w:b w:val="0"/>
                <w:sz w:val="21"/>
              </w:rPr>
              <w:t>8分</w:t>
            </w:r>
          </w:p>
        </w:tc>
      </w:tr>
      <w:tr w14:paraId="17C69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7" w:type="dxa"/>
            <w:vAlign w:val="top"/>
          </w:tcPr>
          <w:p w14:paraId="0391E36A">
            <w:pPr>
              <w:jc w:val="both"/>
            </w:pPr>
            <w:r>
              <w:rPr>
                <w:rFonts w:ascii="宋体" w:hAnsi="宋体" w:eastAsia="宋体"/>
                <w:b w:val="0"/>
                <w:sz w:val="21"/>
              </w:rPr>
              <w:t>2.5 质量保障措施</w:t>
            </w:r>
          </w:p>
        </w:tc>
        <w:tc>
          <w:tcPr>
            <w:tcW w:w="6520" w:type="dxa"/>
            <w:vAlign w:val="top"/>
          </w:tcPr>
          <w:p w14:paraId="0FEC6145">
            <w:pPr>
              <w:jc w:val="both"/>
            </w:pPr>
            <w:r>
              <w:rPr>
                <w:rFonts w:ascii="宋体" w:hAnsi="宋体" w:eastAsia="宋体"/>
                <w:b w:val="0"/>
                <w:sz w:val="21"/>
              </w:rPr>
              <w:t>参选人提供的服务质量保障措施，包括服务过程管控、质量检查制度、学员满意度调查机制、问题反馈处理机制等。</w:t>
            </w:r>
            <w:r>
              <w:rPr>
                <w:rFonts w:ascii="宋体" w:hAnsi="宋体" w:eastAsia="宋体"/>
                <w:b w:val="0"/>
                <w:sz w:val="21"/>
              </w:rPr>
              <w:br w:type="textWrapping"/>
            </w:r>
            <w:r>
              <w:rPr>
                <w:rFonts w:ascii="宋体" w:hAnsi="宋体" w:eastAsia="宋体"/>
                <w:b w:val="0"/>
                <w:sz w:val="21"/>
              </w:rPr>
              <w:t>1. 优秀标准：质量保障措施全面、完善、可操作性强，得7-8分；</w:t>
            </w:r>
            <w:r>
              <w:rPr>
                <w:rFonts w:ascii="宋体" w:hAnsi="宋体" w:eastAsia="宋体"/>
                <w:b w:val="0"/>
                <w:sz w:val="21"/>
              </w:rPr>
              <w:br w:type="textWrapping"/>
            </w:r>
            <w:r>
              <w:rPr>
                <w:rFonts w:ascii="宋体" w:hAnsi="宋体" w:eastAsia="宋体"/>
                <w:b w:val="0"/>
                <w:sz w:val="21"/>
              </w:rPr>
              <w:t>2. 良好标准：质量保障措施较完善、可操作性较好，得4-6分；</w:t>
            </w:r>
            <w:r>
              <w:rPr>
                <w:rFonts w:ascii="宋体" w:hAnsi="宋体" w:eastAsia="宋体"/>
                <w:b w:val="0"/>
                <w:sz w:val="21"/>
              </w:rPr>
              <w:br w:type="textWrapping"/>
            </w:r>
            <w:r>
              <w:rPr>
                <w:rFonts w:ascii="宋体" w:hAnsi="宋体" w:eastAsia="宋体"/>
                <w:b w:val="0"/>
                <w:sz w:val="21"/>
              </w:rPr>
              <w:t>3. 一般标准：质量保障措施基本可行，得1-3分。</w:t>
            </w:r>
            <w:r>
              <w:rPr>
                <w:rFonts w:ascii="宋体" w:hAnsi="宋体" w:eastAsia="宋体"/>
                <w:b w:val="0"/>
                <w:sz w:val="21"/>
              </w:rPr>
              <w:br w:type="textWrapping"/>
            </w:r>
            <w:r>
              <w:rPr>
                <w:rFonts w:ascii="宋体" w:hAnsi="宋体" w:eastAsia="宋体"/>
                <w:b w:val="0"/>
                <w:sz w:val="21"/>
              </w:rPr>
              <w:t>4. 未提供不得分。</w:t>
            </w:r>
          </w:p>
        </w:tc>
        <w:tc>
          <w:tcPr>
            <w:tcW w:w="1134" w:type="dxa"/>
            <w:vAlign w:val="center"/>
          </w:tcPr>
          <w:p w14:paraId="03B7FF98">
            <w:pPr>
              <w:jc w:val="center"/>
            </w:pPr>
            <w:r>
              <w:rPr>
                <w:rFonts w:ascii="宋体" w:hAnsi="宋体" w:eastAsia="宋体"/>
                <w:b w:val="0"/>
                <w:sz w:val="21"/>
              </w:rPr>
              <w:t>8分</w:t>
            </w:r>
          </w:p>
        </w:tc>
      </w:tr>
    </w:tbl>
    <w:p w14:paraId="7F0C0CD1"/>
    <w:p w14:paraId="4B26B821">
      <w:pPr>
        <w:spacing w:after="80" w:line="400" w:lineRule="exact"/>
      </w:pPr>
      <w:r>
        <w:rPr>
          <w:rFonts w:ascii="宋体" w:hAnsi="宋体" w:eastAsia="宋体"/>
          <w:b/>
          <w:sz w:val="24"/>
        </w:rPr>
        <w:t>三、商务部分（25分）</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91"/>
        <w:gridCol w:w="6357"/>
        <w:gridCol w:w="1114"/>
      </w:tblGrid>
      <w:tr w14:paraId="70C8D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91" w:type="dxa"/>
            <w:shd w:val="clear" w:color="auto" w:fill="4472C4"/>
            <w:vAlign w:val="center"/>
          </w:tcPr>
          <w:p w14:paraId="5C059EA5">
            <w:pPr>
              <w:jc w:val="center"/>
            </w:pPr>
            <w:r>
              <w:rPr>
                <w:rFonts w:ascii="黑体" w:hAnsi="黑体" w:eastAsia="黑体"/>
                <w:b/>
                <w:color w:val="FFFFFF"/>
                <w:sz w:val="21"/>
              </w:rPr>
              <w:t>名称</w:t>
            </w:r>
          </w:p>
        </w:tc>
        <w:tc>
          <w:tcPr>
            <w:tcW w:w="6357" w:type="dxa"/>
            <w:shd w:val="clear" w:color="auto" w:fill="4472C4"/>
            <w:vAlign w:val="center"/>
          </w:tcPr>
          <w:p w14:paraId="33966620">
            <w:pPr>
              <w:jc w:val="center"/>
            </w:pPr>
            <w:r>
              <w:rPr>
                <w:rFonts w:ascii="黑体" w:hAnsi="黑体" w:eastAsia="黑体"/>
                <w:b/>
                <w:color w:val="FFFFFF"/>
                <w:sz w:val="21"/>
              </w:rPr>
              <w:t>评审因素及说明</w:t>
            </w:r>
          </w:p>
        </w:tc>
        <w:tc>
          <w:tcPr>
            <w:tcW w:w="1114" w:type="dxa"/>
            <w:shd w:val="clear" w:color="auto" w:fill="4472C4"/>
            <w:vAlign w:val="center"/>
          </w:tcPr>
          <w:p w14:paraId="74EF73A7">
            <w:pPr>
              <w:jc w:val="center"/>
            </w:pPr>
            <w:r>
              <w:rPr>
                <w:rFonts w:ascii="黑体" w:hAnsi="黑体" w:eastAsia="黑体"/>
                <w:b/>
                <w:color w:val="FFFFFF"/>
                <w:sz w:val="21"/>
              </w:rPr>
              <w:t>分值</w:t>
            </w:r>
          </w:p>
        </w:tc>
      </w:tr>
      <w:tr w14:paraId="3EA90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91" w:type="dxa"/>
            <w:vAlign w:val="center"/>
          </w:tcPr>
          <w:p w14:paraId="299F7C9C">
            <w:pPr>
              <w:jc w:val="both"/>
            </w:pPr>
            <w:r>
              <w:rPr>
                <w:rFonts w:ascii="宋体" w:hAnsi="宋体" w:eastAsia="宋体"/>
                <w:b w:val="0"/>
                <w:sz w:val="21"/>
              </w:rPr>
              <w:t>3.1 资质认证</w:t>
            </w:r>
          </w:p>
        </w:tc>
        <w:tc>
          <w:tcPr>
            <w:tcW w:w="6357" w:type="dxa"/>
            <w:vAlign w:val="center"/>
          </w:tcPr>
          <w:p w14:paraId="3182AF7A">
            <w:pPr>
              <w:jc w:val="both"/>
            </w:pPr>
            <w:r>
              <w:rPr>
                <w:rFonts w:ascii="宋体" w:hAnsi="宋体" w:eastAsia="宋体"/>
                <w:b w:val="0"/>
                <w:sz w:val="21"/>
              </w:rPr>
              <w:t>1. 参选人持有有效的《旅行社业务经营许可证》得3分（须提供证书复印件加盖公章）；</w:t>
            </w:r>
            <w:r>
              <w:rPr>
                <w:rFonts w:ascii="宋体" w:hAnsi="宋体" w:eastAsia="宋体"/>
                <w:b w:val="0"/>
                <w:sz w:val="21"/>
              </w:rPr>
              <w:br w:type="textWrapping"/>
            </w:r>
            <w:r>
              <w:rPr>
                <w:rFonts w:ascii="宋体" w:hAnsi="宋体" w:eastAsia="宋体"/>
                <w:b w:val="0"/>
                <w:sz w:val="21"/>
              </w:rPr>
              <w:t>2. 参选人具有</w:t>
            </w:r>
            <w:r>
              <w:rPr>
                <w:rFonts w:hint="eastAsia"/>
                <w:b w:val="0"/>
                <w:sz w:val="21"/>
                <w:lang w:eastAsia="zh-CN"/>
              </w:rPr>
              <w:t>研修</w:t>
            </w:r>
            <w:r>
              <w:rPr>
                <w:rFonts w:ascii="宋体" w:hAnsi="宋体" w:eastAsia="宋体"/>
                <w:b w:val="0"/>
                <w:sz w:val="21"/>
              </w:rPr>
              <w:t>旅行相关资质认证（如</w:t>
            </w:r>
            <w:r>
              <w:rPr>
                <w:rFonts w:hint="eastAsia"/>
                <w:b w:val="0"/>
                <w:sz w:val="21"/>
                <w:lang w:eastAsia="zh-CN"/>
              </w:rPr>
              <w:t>研修</w:t>
            </w:r>
            <w:r>
              <w:rPr>
                <w:rFonts w:ascii="宋体" w:hAnsi="宋体" w:eastAsia="宋体"/>
                <w:b w:val="0"/>
                <w:sz w:val="21"/>
              </w:rPr>
              <w:t>旅行指导师认证、</w:t>
            </w:r>
            <w:r>
              <w:rPr>
                <w:rFonts w:hint="eastAsia"/>
                <w:b w:val="0"/>
                <w:sz w:val="21"/>
                <w:lang w:eastAsia="zh-CN"/>
              </w:rPr>
              <w:t>研修</w:t>
            </w:r>
            <w:r>
              <w:rPr>
                <w:rFonts w:ascii="宋体" w:hAnsi="宋体" w:eastAsia="宋体"/>
                <w:b w:val="0"/>
                <w:sz w:val="21"/>
              </w:rPr>
              <w:t>旅行服务机构认证等）或为</w:t>
            </w:r>
            <w:r>
              <w:rPr>
                <w:rFonts w:hint="eastAsia"/>
                <w:b w:val="0"/>
                <w:sz w:val="21"/>
                <w:lang w:eastAsia="zh-CN"/>
              </w:rPr>
              <w:t>研修</w:t>
            </w:r>
            <w:r>
              <w:rPr>
                <w:rFonts w:ascii="宋体" w:hAnsi="宋体" w:eastAsia="宋体"/>
                <w:b w:val="0"/>
                <w:sz w:val="21"/>
              </w:rPr>
              <w:t>旅行相关行业协会会员的，每提供一项有效证明得1分，最多得2分。</w:t>
            </w:r>
          </w:p>
        </w:tc>
        <w:tc>
          <w:tcPr>
            <w:tcW w:w="1114" w:type="dxa"/>
            <w:vAlign w:val="center"/>
          </w:tcPr>
          <w:p w14:paraId="10CB5ADC">
            <w:pPr>
              <w:jc w:val="both"/>
            </w:pPr>
            <w:r>
              <w:rPr>
                <w:rFonts w:ascii="宋体" w:hAnsi="宋体" w:eastAsia="宋体"/>
                <w:b w:val="0"/>
                <w:sz w:val="21"/>
              </w:rPr>
              <w:t>5分</w:t>
            </w:r>
          </w:p>
        </w:tc>
      </w:tr>
      <w:tr w14:paraId="699AC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91" w:type="dxa"/>
            <w:vAlign w:val="center"/>
          </w:tcPr>
          <w:p w14:paraId="32544E3E">
            <w:pPr>
              <w:jc w:val="both"/>
            </w:pPr>
            <w:r>
              <w:rPr>
                <w:rFonts w:ascii="宋体" w:hAnsi="宋体" w:eastAsia="宋体"/>
                <w:b w:val="0"/>
                <w:sz w:val="21"/>
              </w:rPr>
              <w:t>3.2 项目业绩</w:t>
            </w:r>
          </w:p>
        </w:tc>
        <w:tc>
          <w:tcPr>
            <w:tcW w:w="6357" w:type="dxa"/>
            <w:vAlign w:val="center"/>
          </w:tcPr>
          <w:p w14:paraId="6E1D7301">
            <w:pPr>
              <w:jc w:val="both"/>
            </w:pPr>
            <w:r>
              <w:rPr>
                <w:rFonts w:ascii="宋体" w:hAnsi="宋体" w:eastAsia="宋体"/>
                <w:b w:val="0"/>
                <w:sz w:val="21"/>
              </w:rPr>
              <w:t>参选人近三年（2023年1月1日至今）实施过的与本项目相同或相似的</w:t>
            </w:r>
            <w:r>
              <w:rPr>
                <w:rFonts w:hint="eastAsia"/>
                <w:b w:val="0"/>
                <w:sz w:val="21"/>
                <w:lang w:eastAsia="zh-CN"/>
              </w:rPr>
              <w:t>研修</w:t>
            </w:r>
            <w:r>
              <w:rPr>
                <w:rFonts w:ascii="宋体" w:hAnsi="宋体" w:eastAsia="宋体"/>
                <w:b w:val="0"/>
                <w:sz w:val="21"/>
              </w:rPr>
              <w:t>旅行/教育旅行服务项目业绩。每提供1个有效服务业绩（须附合同复印件并加盖公章）得2分，最多得</w:t>
            </w:r>
            <w:r>
              <w:rPr>
                <w:rFonts w:hint="eastAsia"/>
                <w:b w:val="0"/>
                <w:sz w:val="21"/>
                <w:lang w:val="en-US" w:eastAsia="zh-CN"/>
              </w:rPr>
              <w:t>10</w:t>
            </w:r>
            <w:r>
              <w:rPr>
                <w:rFonts w:ascii="宋体" w:hAnsi="宋体" w:eastAsia="宋体"/>
                <w:b w:val="0"/>
                <w:sz w:val="21"/>
              </w:rPr>
              <w:t>分。</w:t>
            </w:r>
          </w:p>
        </w:tc>
        <w:tc>
          <w:tcPr>
            <w:tcW w:w="1114" w:type="dxa"/>
            <w:vAlign w:val="center"/>
          </w:tcPr>
          <w:p w14:paraId="7B352CF5">
            <w:pPr>
              <w:jc w:val="both"/>
            </w:pPr>
            <w:r>
              <w:rPr>
                <w:rFonts w:hint="eastAsia"/>
                <w:b w:val="0"/>
                <w:sz w:val="21"/>
                <w:lang w:val="en-US" w:eastAsia="zh-CN"/>
              </w:rPr>
              <w:t>10</w:t>
            </w:r>
            <w:r>
              <w:rPr>
                <w:rFonts w:ascii="宋体" w:hAnsi="宋体" w:eastAsia="宋体"/>
                <w:b w:val="0"/>
                <w:sz w:val="21"/>
              </w:rPr>
              <w:t>分</w:t>
            </w:r>
          </w:p>
        </w:tc>
      </w:tr>
      <w:tr w14:paraId="7E787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91" w:type="dxa"/>
            <w:vAlign w:val="center"/>
          </w:tcPr>
          <w:p w14:paraId="082B4C0A">
            <w:pPr>
              <w:jc w:val="both"/>
            </w:pPr>
            <w:r>
              <w:rPr>
                <w:rFonts w:ascii="宋体" w:hAnsi="宋体" w:eastAsia="宋体"/>
                <w:b w:val="0"/>
                <w:sz w:val="21"/>
              </w:rPr>
              <w:t>3.3 服务承诺</w:t>
            </w:r>
          </w:p>
        </w:tc>
        <w:tc>
          <w:tcPr>
            <w:tcW w:w="6357" w:type="dxa"/>
            <w:vAlign w:val="center"/>
          </w:tcPr>
          <w:p w14:paraId="3249E0D5">
            <w:pPr>
              <w:jc w:val="both"/>
            </w:pPr>
            <w:r>
              <w:rPr>
                <w:rFonts w:ascii="宋体" w:hAnsi="宋体" w:eastAsia="宋体"/>
                <w:b w:val="0"/>
                <w:sz w:val="21"/>
              </w:rPr>
              <w:t>参选人提供服务承诺书，包括运行安全保障、应急响应时效、服务准点率保障、服务质量指标（如学员满意率、餐饮安全率、住宿达标率、交通安全率等）、售后服务及问题处理时限等承诺。</w:t>
            </w:r>
            <w:r>
              <w:rPr>
                <w:rFonts w:ascii="宋体" w:hAnsi="宋体" w:eastAsia="宋体"/>
                <w:b w:val="0"/>
                <w:sz w:val="21"/>
              </w:rPr>
              <w:br w:type="textWrapping"/>
            </w:r>
            <w:r>
              <w:rPr>
                <w:rFonts w:ascii="宋体" w:hAnsi="宋体" w:eastAsia="宋体"/>
                <w:b w:val="0"/>
                <w:sz w:val="21"/>
              </w:rPr>
              <w:t>1. 优秀标准：服务承诺全面、具体、保障有力，得</w:t>
            </w:r>
            <w:r>
              <w:rPr>
                <w:rFonts w:hint="eastAsia"/>
                <w:b w:val="0"/>
                <w:sz w:val="21"/>
                <w:lang w:val="en-US" w:eastAsia="zh-CN"/>
              </w:rPr>
              <w:t>7</w:t>
            </w:r>
            <w:r>
              <w:rPr>
                <w:rFonts w:ascii="宋体" w:hAnsi="宋体" w:eastAsia="宋体"/>
                <w:b w:val="0"/>
                <w:sz w:val="21"/>
              </w:rPr>
              <w:t>-</w:t>
            </w:r>
            <w:r>
              <w:rPr>
                <w:rFonts w:hint="eastAsia"/>
                <w:b w:val="0"/>
                <w:sz w:val="21"/>
                <w:lang w:val="en-US" w:eastAsia="zh-CN"/>
              </w:rPr>
              <w:t>10</w:t>
            </w:r>
            <w:r>
              <w:rPr>
                <w:rFonts w:ascii="宋体" w:hAnsi="宋体" w:eastAsia="宋体"/>
                <w:b w:val="0"/>
                <w:sz w:val="21"/>
              </w:rPr>
              <w:t>分；</w:t>
            </w:r>
            <w:r>
              <w:rPr>
                <w:rFonts w:ascii="宋体" w:hAnsi="宋体" w:eastAsia="宋体"/>
                <w:b w:val="0"/>
                <w:sz w:val="21"/>
              </w:rPr>
              <w:br w:type="textWrapping"/>
            </w:r>
            <w:r>
              <w:rPr>
                <w:rFonts w:ascii="宋体" w:hAnsi="宋体" w:eastAsia="宋体"/>
                <w:b w:val="0"/>
                <w:sz w:val="21"/>
              </w:rPr>
              <w:t>2. 良好标准：服务承诺较全面、保障较好，得</w:t>
            </w:r>
            <w:r>
              <w:rPr>
                <w:rFonts w:hint="eastAsia"/>
                <w:b w:val="0"/>
                <w:sz w:val="21"/>
                <w:lang w:val="en-US" w:eastAsia="zh-CN"/>
              </w:rPr>
              <w:t>4</w:t>
            </w:r>
            <w:r>
              <w:rPr>
                <w:rFonts w:ascii="宋体" w:hAnsi="宋体" w:eastAsia="宋体"/>
                <w:b w:val="0"/>
                <w:sz w:val="21"/>
              </w:rPr>
              <w:t>-</w:t>
            </w:r>
            <w:r>
              <w:rPr>
                <w:rFonts w:hint="eastAsia"/>
                <w:b w:val="0"/>
                <w:sz w:val="21"/>
                <w:lang w:val="en-US" w:eastAsia="zh-CN"/>
              </w:rPr>
              <w:t>6</w:t>
            </w:r>
            <w:r>
              <w:rPr>
                <w:rFonts w:ascii="宋体" w:hAnsi="宋体" w:eastAsia="宋体"/>
                <w:b w:val="0"/>
                <w:sz w:val="21"/>
              </w:rPr>
              <w:t>分；</w:t>
            </w:r>
            <w:r>
              <w:rPr>
                <w:rFonts w:ascii="宋体" w:hAnsi="宋体" w:eastAsia="宋体"/>
                <w:b w:val="0"/>
                <w:sz w:val="21"/>
              </w:rPr>
              <w:br w:type="textWrapping"/>
            </w:r>
            <w:r>
              <w:rPr>
                <w:rFonts w:ascii="宋体" w:hAnsi="宋体" w:eastAsia="宋体"/>
                <w:b w:val="0"/>
                <w:sz w:val="21"/>
              </w:rPr>
              <w:t>3. 一般标准：服务承诺基本可行，得1-</w:t>
            </w:r>
            <w:r>
              <w:rPr>
                <w:rFonts w:hint="eastAsia"/>
                <w:b w:val="0"/>
                <w:sz w:val="21"/>
                <w:lang w:val="en-US" w:eastAsia="zh-CN"/>
              </w:rPr>
              <w:t>3</w:t>
            </w:r>
            <w:r>
              <w:rPr>
                <w:rFonts w:ascii="宋体" w:hAnsi="宋体" w:eastAsia="宋体"/>
                <w:b w:val="0"/>
                <w:sz w:val="21"/>
              </w:rPr>
              <w:t>分。</w:t>
            </w:r>
            <w:r>
              <w:rPr>
                <w:rFonts w:ascii="宋体" w:hAnsi="宋体" w:eastAsia="宋体"/>
                <w:b w:val="0"/>
                <w:sz w:val="21"/>
              </w:rPr>
              <w:br w:type="textWrapping"/>
            </w:r>
            <w:r>
              <w:rPr>
                <w:rFonts w:ascii="宋体" w:hAnsi="宋体" w:eastAsia="宋体"/>
                <w:b w:val="0"/>
                <w:sz w:val="21"/>
              </w:rPr>
              <w:t>4. 未提供不得分。</w:t>
            </w:r>
          </w:p>
        </w:tc>
        <w:tc>
          <w:tcPr>
            <w:tcW w:w="1114" w:type="dxa"/>
            <w:vAlign w:val="center"/>
          </w:tcPr>
          <w:p w14:paraId="5EBE34B2">
            <w:pPr>
              <w:jc w:val="both"/>
            </w:pPr>
            <w:r>
              <w:rPr>
                <w:rFonts w:hint="eastAsia"/>
                <w:b w:val="0"/>
                <w:sz w:val="21"/>
                <w:lang w:val="en-US" w:eastAsia="zh-CN"/>
              </w:rPr>
              <w:t>10</w:t>
            </w:r>
            <w:r>
              <w:rPr>
                <w:rFonts w:ascii="宋体" w:hAnsi="宋体" w:eastAsia="宋体"/>
                <w:b w:val="0"/>
                <w:sz w:val="21"/>
              </w:rPr>
              <w:t>分</w:t>
            </w:r>
          </w:p>
        </w:tc>
      </w:tr>
    </w:tbl>
    <w:p w14:paraId="09CB4A6C">
      <w:pPr>
        <w:spacing w:after="80" w:line="400" w:lineRule="exact"/>
      </w:pPr>
      <w:r>
        <w:rPr>
          <w:rFonts w:ascii="宋体" w:hAnsi="宋体" w:eastAsia="宋体"/>
          <w:b/>
          <w:sz w:val="24"/>
        </w:rPr>
        <w:t>注：</w:t>
      </w:r>
    </w:p>
    <w:p w14:paraId="29040BC5">
      <w:pPr>
        <w:spacing w:after="80" w:line="400" w:lineRule="exact"/>
      </w:pPr>
      <w:r>
        <w:rPr>
          <w:rFonts w:ascii="宋体" w:hAnsi="宋体" w:eastAsia="宋体"/>
          <w:b w:val="0"/>
          <w:sz w:val="24"/>
        </w:rPr>
        <w:t>1. 保留小数点后两位（按四舍五入原则）。没有特殊说明的，最小打分单位为0.5分。</w:t>
      </w:r>
    </w:p>
    <w:p w14:paraId="2F1BD142">
      <w:pPr>
        <w:spacing w:after="80" w:line="400" w:lineRule="exact"/>
      </w:pPr>
      <w:r>
        <w:rPr>
          <w:rFonts w:ascii="宋体" w:hAnsi="宋体" w:eastAsia="宋体"/>
          <w:b w:val="0"/>
          <w:sz w:val="24"/>
        </w:rPr>
        <w:t>2. 投标人在投标时须提供与以上评分因素相关的材料。如果发现有弄虚作假的，将取消其投标资格。</w:t>
      </w:r>
    </w:p>
    <w:p w14:paraId="13863CA2">
      <w:pPr>
        <w:spacing w:after="80" w:line="400" w:lineRule="exact"/>
      </w:pPr>
      <w:r>
        <w:rPr>
          <w:rFonts w:ascii="宋体" w:hAnsi="宋体" w:eastAsia="宋体"/>
          <w:b w:val="0"/>
          <w:sz w:val="24"/>
        </w:rPr>
        <w:t>3. 评标委员会有权判定明显低于成本的投标是无效投标，经评标委员会判定合格投标人的报价为无效报价的，将不计入基准价计算。</w:t>
      </w:r>
    </w:p>
    <w:p w14:paraId="3E6110A0">
      <w:pPr>
        <w:spacing w:after="80" w:line="400" w:lineRule="exact"/>
      </w:pPr>
      <w:r>
        <w:rPr>
          <w:rFonts w:ascii="宋体" w:hAnsi="宋体" w:eastAsia="宋体"/>
          <w:b w:val="0"/>
          <w:sz w:val="24"/>
        </w:rPr>
        <w:t>4. 客观分须完全一致，存在不同意见的，评标委员会成员应分别作出书面说明。</w:t>
      </w:r>
    </w:p>
    <w:p w14:paraId="00B14423">
      <w:r>
        <w:br w:type="page"/>
      </w:r>
    </w:p>
    <w:p w14:paraId="54159AA2">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bCs w:val="0"/>
          <w:kern w:val="0"/>
          <w:sz w:val="36"/>
          <w:szCs w:val="36"/>
          <w:lang w:val="en-US" w:eastAsia="zh-CN"/>
        </w:rPr>
      </w:pPr>
      <w:r>
        <w:rPr>
          <w:rFonts w:ascii="黑体" w:hAnsi="黑体" w:eastAsia="黑体"/>
          <w:b/>
          <w:sz w:val="32"/>
        </w:rPr>
        <w:t>六、</w:t>
      </w:r>
      <w:r>
        <w:rPr>
          <w:rFonts w:hint="eastAsia" w:ascii="仿宋" w:hAnsi="仿宋" w:eastAsia="仿宋" w:cs="仿宋"/>
          <w:b/>
          <w:bCs w:val="0"/>
          <w:kern w:val="0"/>
          <w:sz w:val="36"/>
          <w:szCs w:val="36"/>
          <w:lang w:val="en-US" w:eastAsia="zh-CN"/>
        </w:rPr>
        <w:t>北师大教育集团委托【   】服务合同</w:t>
      </w:r>
    </w:p>
    <w:p w14:paraId="78ABC8E6">
      <w:pPr>
        <w:keepNext w:val="0"/>
        <w:keepLines w:val="0"/>
        <w:pageBreakBefore w:val="0"/>
        <w:widowControl w:val="0"/>
        <w:kinsoku/>
        <w:wordWrap/>
        <w:overflowPunct/>
        <w:topLinePunct w:val="0"/>
        <w:autoSpaceDE/>
        <w:autoSpaceDN/>
        <w:bidi w:val="0"/>
        <w:adjustRightInd/>
        <w:snapToGrid w:val="0"/>
        <w:spacing w:after="0" w:line="560" w:lineRule="exact"/>
        <w:jc w:val="left"/>
        <w:textAlignment w:val="auto"/>
        <w:rPr>
          <w:rFonts w:hint="eastAsia" w:ascii="仿宋" w:hAnsi="仿宋" w:eastAsia="仿宋" w:cs="仿宋"/>
          <w:b/>
          <w:bCs w:val="0"/>
          <w:sz w:val="44"/>
          <w:szCs w:val="44"/>
        </w:rPr>
      </w:pPr>
    </w:p>
    <w:p w14:paraId="012C9E11">
      <w:pPr>
        <w:keepNext w:val="0"/>
        <w:keepLines w:val="0"/>
        <w:pageBreakBefore w:val="0"/>
        <w:widowControl w:val="0"/>
        <w:kinsoku/>
        <w:wordWrap/>
        <w:overflowPunct/>
        <w:topLinePunct w:val="0"/>
        <w:autoSpaceDE/>
        <w:autoSpaceDN/>
        <w:bidi w:val="0"/>
        <w:adjustRightInd/>
        <w:snapToGrid w:val="0"/>
        <w:spacing w:after="0" w:line="560" w:lineRule="exact"/>
        <w:textAlignment w:val="auto"/>
        <w:rPr>
          <w:rFonts w:hint="eastAsia" w:ascii="仿宋" w:hAnsi="仿宋" w:eastAsia="仿宋" w:cs="仿宋"/>
          <w:bCs/>
          <w:sz w:val="28"/>
          <w:szCs w:val="28"/>
        </w:rPr>
      </w:pPr>
      <w:r>
        <w:rPr>
          <w:rFonts w:hint="eastAsia" w:ascii="仿宋" w:hAnsi="仿宋" w:eastAsia="仿宋" w:cs="仿宋"/>
          <w:bCs/>
          <w:sz w:val="28"/>
          <w:szCs w:val="28"/>
        </w:rPr>
        <w:t>甲方（委托方）：北京师大励耘教育科技发展集团有限公司</w:t>
      </w:r>
    </w:p>
    <w:p w14:paraId="1EF97A5F">
      <w:pPr>
        <w:keepNext w:val="0"/>
        <w:keepLines w:val="0"/>
        <w:pageBreakBefore w:val="0"/>
        <w:widowControl w:val="0"/>
        <w:kinsoku/>
        <w:wordWrap/>
        <w:overflowPunct/>
        <w:topLinePunct w:val="0"/>
        <w:autoSpaceDE/>
        <w:autoSpaceDN/>
        <w:bidi w:val="0"/>
        <w:adjustRightInd/>
        <w:snapToGrid w:val="0"/>
        <w:spacing w:after="0" w:line="560" w:lineRule="exact"/>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rPr>
        <w:t>联系人：</w:t>
      </w:r>
      <w:r>
        <w:rPr>
          <w:rFonts w:hint="eastAsia" w:ascii="仿宋" w:hAnsi="仿宋" w:eastAsia="仿宋" w:cs="仿宋"/>
          <w:bCs/>
          <w:sz w:val="28"/>
          <w:szCs w:val="28"/>
          <w:lang w:val="en-US" w:eastAsia="zh-CN"/>
        </w:rPr>
        <w:t xml:space="preserve"> </w:t>
      </w:r>
    </w:p>
    <w:p w14:paraId="2E17413E">
      <w:pPr>
        <w:keepNext w:val="0"/>
        <w:keepLines w:val="0"/>
        <w:pageBreakBefore w:val="0"/>
        <w:widowControl w:val="0"/>
        <w:kinsoku/>
        <w:wordWrap/>
        <w:overflowPunct/>
        <w:topLinePunct w:val="0"/>
        <w:autoSpaceDE/>
        <w:autoSpaceDN/>
        <w:bidi w:val="0"/>
        <w:adjustRightInd/>
        <w:snapToGrid w:val="0"/>
        <w:spacing w:after="0" w:line="560" w:lineRule="exact"/>
        <w:jc w:val="left"/>
        <w:textAlignment w:val="auto"/>
        <w:rPr>
          <w:rFonts w:hint="eastAsia" w:ascii="仿宋" w:hAnsi="仿宋" w:eastAsia="仿宋" w:cs="仿宋"/>
          <w:bCs/>
          <w:sz w:val="28"/>
          <w:szCs w:val="28"/>
        </w:rPr>
      </w:pPr>
      <w:r>
        <w:rPr>
          <w:rFonts w:hint="eastAsia" w:ascii="仿宋" w:hAnsi="仿宋" w:eastAsia="仿宋" w:cs="仿宋"/>
          <w:bCs/>
          <w:sz w:val="28"/>
          <w:szCs w:val="28"/>
        </w:rPr>
        <w:t>联系电话：</w:t>
      </w:r>
    </w:p>
    <w:p w14:paraId="2E04755E">
      <w:pPr>
        <w:keepNext w:val="0"/>
        <w:keepLines w:val="0"/>
        <w:pageBreakBefore w:val="0"/>
        <w:widowControl w:val="0"/>
        <w:kinsoku/>
        <w:wordWrap/>
        <w:overflowPunct/>
        <w:topLinePunct w:val="0"/>
        <w:autoSpaceDE/>
        <w:autoSpaceDN/>
        <w:bidi w:val="0"/>
        <w:adjustRightInd/>
        <w:snapToGrid w:val="0"/>
        <w:spacing w:after="0" w:line="560" w:lineRule="exact"/>
        <w:jc w:val="left"/>
        <w:textAlignment w:val="auto"/>
        <w:rPr>
          <w:rFonts w:ascii="仿宋" w:hAnsi="仿宋" w:eastAsia="仿宋" w:cs="仿宋"/>
          <w:bCs/>
          <w:sz w:val="28"/>
          <w:szCs w:val="28"/>
        </w:rPr>
      </w:pPr>
      <w:r>
        <w:rPr>
          <w:rFonts w:hint="eastAsia" w:ascii="仿宋" w:hAnsi="仿宋" w:eastAsia="仿宋" w:cs="仿宋"/>
          <w:bCs/>
          <w:sz w:val="28"/>
          <w:szCs w:val="28"/>
        </w:rPr>
        <w:t>联系地址：</w:t>
      </w:r>
      <w:r>
        <w:rPr>
          <w:rFonts w:hint="eastAsia" w:ascii="仿宋" w:hAnsi="仿宋" w:eastAsia="仿宋" w:cs="仿宋"/>
          <w:bCs/>
          <w:sz w:val="28"/>
          <w:szCs w:val="28"/>
          <w:lang w:val="en-US" w:eastAsia="zh-CN"/>
        </w:rPr>
        <w:t>北</w:t>
      </w:r>
      <w:r>
        <w:rPr>
          <w:rFonts w:hint="eastAsia" w:ascii="仿宋" w:hAnsi="仿宋" w:eastAsia="仿宋" w:cs="仿宋"/>
          <w:bCs/>
          <w:sz w:val="28"/>
          <w:szCs w:val="28"/>
        </w:rPr>
        <w:t>京市海淀区文慧园北路8号庆亚大厦二层</w:t>
      </w:r>
    </w:p>
    <w:p w14:paraId="2F7A641C">
      <w:pPr>
        <w:keepNext w:val="0"/>
        <w:keepLines w:val="0"/>
        <w:pageBreakBefore w:val="0"/>
        <w:widowControl w:val="0"/>
        <w:kinsoku/>
        <w:wordWrap/>
        <w:overflowPunct/>
        <w:topLinePunct w:val="0"/>
        <w:autoSpaceDE/>
        <w:autoSpaceDN/>
        <w:bidi w:val="0"/>
        <w:adjustRightInd/>
        <w:snapToGrid w:val="0"/>
        <w:spacing w:after="0" w:line="560" w:lineRule="exact"/>
        <w:textAlignment w:val="auto"/>
        <w:rPr>
          <w:rFonts w:hint="eastAsia" w:ascii="仿宋" w:hAnsi="仿宋" w:eastAsia="仿宋" w:cs="仿宋"/>
          <w:bCs/>
          <w:sz w:val="28"/>
          <w:szCs w:val="28"/>
        </w:rPr>
      </w:pPr>
    </w:p>
    <w:p w14:paraId="174EBCEB">
      <w:pPr>
        <w:keepNext w:val="0"/>
        <w:keepLines w:val="0"/>
        <w:pageBreakBefore w:val="0"/>
        <w:widowControl w:val="0"/>
        <w:kinsoku/>
        <w:wordWrap/>
        <w:overflowPunct/>
        <w:topLinePunct w:val="0"/>
        <w:autoSpaceDE/>
        <w:autoSpaceDN/>
        <w:bidi w:val="0"/>
        <w:adjustRightInd/>
        <w:snapToGrid w:val="0"/>
        <w:spacing w:after="0" w:line="560" w:lineRule="exact"/>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乙方</w:t>
      </w:r>
      <w:r>
        <w:rPr>
          <w:rFonts w:hint="eastAsia" w:ascii="仿宋" w:hAnsi="仿宋" w:eastAsia="仿宋" w:cs="仿宋"/>
          <w:bCs/>
          <w:sz w:val="28"/>
          <w:szCs w:val="28"/>
        </w:rPr>
        <w:t xml:space="preserve">： </w:t>
      </w:r>
    </w:p>
    <w:p w14:paraId="71404B09">
      <w:pPr>
        <w:keepNext w:val="0"/>
        <w:keepLines w:val="0"/>
        <w:pageBreakBefore w:val="0"/>
        <w:widowControl w:val="0"/>
        <w:kinsoku/>
        <w:wordWrap/>
        <w:overflowPunct/>
        <w:topLinePunct w:val="0"/>
        <w:autoSpaceDE/>
        <w:autoSpaceDN/>
        <w:bidi w:val="0"/>
        <w:adjustRightInd/>
        <w:snapToGrid w:val="0"/>
        <w:spacing w:after="0" w:line="560" w:lineRule="exact"/>
        <w:textAlignment w:val="auto"/>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rPr>
        <w:t>联系人：</w:t>
      </w:r>
    </w:p>
    <w:p w14:paraId="391083D7">
      <w:pPr>
        <w:keepNext w:val="0"/>
        <w:keepLines w:val="0"/>
        <w:pageBreakBefore w:val="0"/>
        <w:widowControl w:val="0"/>
        <w:kinsoku/>
        <w:wordWrap/>
        <w:overflowPunct/>
        <w:topLinePunct w:val="0"/>
        <w:autoSpaceDE/>
        <w:autoSpaceDN/>
        <w:bidi w:val="0"/>
        <w:adjustRightInd/>
        <w:snapToGrid w:val="0"/>
        <w:spacing w:after="0" w:line="560" w:lineRule="exact"/>
        <w:jc w:val="left"/>
        <w:textAlignment w:val="auto"/>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rPr>
        <w:t>联系电话：</w:t>
      </w:r>
    </w:p>
    <w:p w14:paraId="7D27E9BC">
      <w:pPr>
        <w:keepNext w:val="0"/>
        <w:keepLines w:val="0"/>
        <w:pageBreakBefore w:val="0"/>
        <w:widowControl w:val="0"/>
        <w:kinsoku/>
        <w:wordWrap/>
        <w:overflowPunct/>
        <w:topLinePunct w:val="0"/>
        <w:autoSpaceDE/>
        <w:autoSpaceDN/>
        <w:bidi w:val="0"/>
        <w:adjustRightInd w:val="0"/>
        <w:snapToGrid w:val="0"/>
        <w:spacing w:after="0" w:line="560" w:lineRule="exact"/>
        <w:textAlignment w:val="auto"/>
        <w:rPr>
          <w:rFonts w:ascii="仿宋" w:hAnsi="仿宋" w:eastAsia="仿宋" w:cs="仿宋"/>
          <w:bCs/>
          <w:sz w:val="28"/>
          <w:szCs w:val="28"/>
        </w:rPr>
      </w:pPr>
      <w:r>
        <w:rPr>
          <w:rFonts w:hint="eastAsia" w:ascii="仿宋" w:hAnsi="仿宋" w:eastAsia="仿宋" w:cs="仿宋"/>
          <w:bCs/>
          <w:sz w:val="28"/>
          <w:szCs w:val="28"/>
        </w:rPr>
        <w:t>联系地址：</w:t>
      </w:r>
    </w:p>
    <w:p w14:paraId="198A89C6">
      <w:pPr>
        <w:keepNext w:val="0"/>
        <w:keepLines w:val="0"/>
        <w:pageBreakBefore w:val="0"/>
        <w:widowControl w:val="0"/>
        <w:kinsoku/>
        <w:wordWrap/>
        <w:overflowPunct/>
        <w:topLinePunct w:val="0"/>
        <w:autoSpaceDE/>
        <w:autoSpaceDN/>
        <w:bidi w:val="0"/>
        <w:adjustRightInd/>
        <w:snapToGrid w:val="0"/>
        <w:spacing w:after="0" w:line="560" w:lineRule="exact"/>
        <w:textAlignment w:val="auto"/>
        <w:rPr>
          <w:rFonts w:hint="eastAsia" w:ascii="仿宋" w:hAnsi="仿宋" w:eastAsia="仿宋" w:cs="仿宋"/>
          <w:bCs/>
          <w:sz w:val="28"/>
          <w:szCs w:val="28"/>
        </w:rPr>
      </w:pPr>
    </w:p>
    <w:p w14:paraId="7C0F90C0">
      <w:pPr>
        <w:keepNext w:val="0"/>
        <w:keepLines w:val="0"/>
        <w:pageBreakBefore w:val="0"/>
        <w:widowControl w:val="0"/>
        <w:kinsoku/>
        <w:wordWrap/>
        <w:overflowPunct/>
        <w:topLinePunct w:val="0"/>
        <w:autoSpaceDE/>
        <w:autoSpaceDN/>
        <w:bidi w:val="0"/>
        <w:adjustRightInd w:val="0"/>
        <w:snapToGrid w:val="0"/>
        <w:spacing w:after="0"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甲方将其组织的</w:t>
      </w:r>
      <w:r>
        <w:rPr>
          <w:rFonts w:hint="eastAsia" w:ascii="仿宋" w:hAnsi="仿宋" w:eastAsia="仿宋" w:cs="仿宋"/>
          <w:b/>
          <w:bCs w:val="0"/>
          <w:kern w:val="0"/>
          <w:sz w:val="36"/>
          <w:szCs w:val="36"/>
          <w:lang w:val="en-US" w:eastAsia="zh-CN"/>
        </w:rPr>
        <w:t>【   】</w:t>
      </w:r>
      <w:r>
        <w:rPr>
          <w:rFonts w:hint="eastAsia" w:ascii="仿宋" w:hAnsi="仿宋" w:eastAsia="仿宋" w:cs="仿宋"/>
          <w:sz w:val="28"/>
          <w:szCs w:val="28"/>
        </w:rPr>
        <w:t>活动</w:t>
      </w:r>
      <w:r>
        <w:rPr>
          <w:rFonts w:hint="eastAsia" w:ascii="仿宋" w:hAnsi="仿宋" w:eastAsia="仿宋" w:cs="仿宋"/>
          <w:sz w:val="28"/>
          <w:szCs w:val="28"/>
          <w:lang w:val="en-US" w:eastAsia="zh-CN"/>
        </w:rPr>
        <w:t>部分环节</w:t>
      </w:r>
      <w:r>
        <w:rPr>
          <w:rFonts w:hint="eastAsia" w:ascii="仿宋" w:hAnsi="仿宋" w:eastAsia="仿宋" w:cs="仿宋"/>
          <w:sz w:val="28"/>
          <w:szCs w:val="28"/>
        </w:rPr>
        <w:t>交由乙方接待，乙方按照双方确认的标准和要求，为甲方组织的</w:t>
      </w:r>
      <w:r>
        <w:rPr>
          <w:rFonts w:hint="eastAsia" w:ascii="仿宋" w:hAnsi="仿宋" w:eastAsia="仿宋" w:cs="仿宋"/>
          <w:b/>
          <w:bCs w:val="0"/>
          <w:kern w:val="0"/>
          <w:sz w:val="36"/>
          <w:szCs w:val="36"/>
          <w:lang w:val="en-US" w:eastAsia="zh-CN"/>
        </w:rPr>
        <w:t>【   】</w:t>
      </w:r>
      <w:r>
        <w:rPr>
          <w:rFonts w:hint="eastAsia" w:ascii="仿宋" w:hAnsi="仿宋" w:eastAsia="仿宋" w:cs="仿宋"/>
          <w:sz w:val="28"/>
          <w:szCs w:val="28"/>
        </w:rPr>
        <w:t>活动人员提供接待服务。甲方与乙方双方经平等协商，达成如下协议</w:t>
      </w:r>
      <w:r>
        <w:rPr>
          <w:rFonts w:hint="eastAsia" w:ascii="仿宋" w:hAnsi="仿宋" w:eastAsia="仿宋" w:cs="仿宋"/>
          <w:sz w:val="28"/>
          <w:szCs w:val="28"/>
          <w:lang w:val="en-US" w:eastAsia="zh-CN"/>
        </w:rPr>
        <w:t>。</w:t>
      </w:r>
    </w:p>
    <w:p w14:paraId="3ED8176F">
      <w:pPr>
        <w:keepNext w:val="0"/>
        <w:keepLines w:val="0"/>
        <w:pageBreakBefore w:val="0"/>
        <w:widowControl w:val="0"/>
        <w:numPr>
          <w:ilvl w:val="0"/>
          <w:numId w:val="7"/>
        </w:numPr>
        <w:kinsoku/>
        <w:wordWrap/>
        <w:overflowPunct/>
        <w:topLinePunct w:val="0"/>
        <w:autoSpaceDE/>
        <w:autoSpaceDN/>
        <w:bidi w:val="0"/>
        <w:adjustRightInd w:val="0"/>
        <w:snapToGrid w:val="0"/>
        <w:spacing w:after="0" w:line="560" w:lineRule="exact"/>
        <w:ind w:left="360" w:hanging="420" w:hangingChars="15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活动</w:t>
      </w:r>
      <w:r>
        <w:rPr>
          <w:rFonts w:hint="eastAsia" w:ascii="仿宋" w:hAnsi="仿宋" w:eastAsia="仿宋" w:cs="仿宋"/>
          <w:sz w:val="28"/>
          <w:szCs w:val="28"/>
        </w:rPr>
        <w:t>路线：</w:t>
      </w:r>
    </w:p>
    <w:p w14:paraId="25B54EB9">
      <w:pPr>
        <w:keepNext w:val="0"/>
        <w:keepLines w:val="0"/>
        <w:pageBreakBefore w:val="0"/>
        <w:widowControl w:val="0"/>
        <w:numPr>
          <w:ilvl w:val="0"/>
          <w:numId w:val="7"/>
        </w:numPr>
        <w:kinsoku/>
        <w:wordWrap/>
        <w:overflowPunct/>
        <w:topLinePunct w:val="0"/>
        <w:autoSpaceDE/>
        <w:autoSpaceDN/>
        <w:bidi w:val="0"/>
        <w:adjustRightInd w:val="0"/>
        <w:snapToGrid w:val="0"/>
        <w:spacing w:after="0" w:line="560" w:lineRule="exact"/>
        <w:ind w:left="360" w:hanging="420" w:hangingChars="15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活动</w:t>
      </w:r>
      <w:r>
        <w:rPr>
          <w:rFonts w:hint="eastAsia" w:ascii="仿宋" w:hAnsi="仿宋" w:eastAsia="仿宋" w:cs="仿宋"/>
          <w:sz w:val="28"/>
          <w:szCs w:val="28"/>
        </w:rPr>
        <w:t>所涉及城市包括：</w:t>
      </w:r>
    </w:p>
    <w:p w14:paraId="5974DE9A">
      <w:pPr>
        <w:keepNext w:val="0"/>
        <w:keepLines w:val="0"/>
        <w:pageBreakBefore w:val="0"/>
        <w:widowControl w:val="0"/>
        <w:numPr>
          <w:ilvl w:val="0"/>
          <w:numId w:val="7"/>
        </w:numPr>
        <w:kinsoku/>
        <w:wordWrap/>
        <w:overflowPunct/>
        <w:topLinePunct w:val="0"/>
        <w:autoSpaceDE/>
        <w:autoSpaceDN/>
        <w:bidi w:val="0"/>
        <w:adjustRightInd w:val="0"/>
        <w:snapToGrid w:val="0"/>
        <w:spacing w:after="0" w:line="560" w:lineRule="exact"/>
        <w:ind w:left="360" w:hanging="420" w:hangingChars="150"/>
        <w:textAlignment w:val="auto"/>
        <w:rPr>
          <w:rFonts w:hint="eastAsia" w:ascii="仿宋" w:hAnsi="仿宋" w:eastAsia="仿宋" w:cs="仿宋"/>
          <w:sz w:val="28"/>
          <w:szCs w:val="28"/>
        </w:rPr>
      </w:pPr>
      <w:r>
        <w:rPr>
          <w:rFonts w:hint="eastAsia" w:ascii="仿宋" w:hAnsi="仿宋" w:eastAsia="仿宋" w:cs="仿宋"/>
          <w:sz w:val="28"/>
          <w:szCs w:val="28"/>
        </w:rPr>
        <w:t>甲方应向乙方提供与《</w:t>
      </w:r>
      <w:r>
        <w:rPr>
          <w:rFonts w:hint="eastAsia" w:ascii="仿宋" w:hAnsi="仿宋" w:eastAsia="仿宋" w:cs="仿宋"/>
          <w:sz w:val="28"/>
          <w:szCs w:val="28"/>
          <w:lang w:val="en-US" w:eastAsia="zh-CN"/>
        </w:rPr>
        <w:t>活动</w:t>
      </w:r>
      <w:r>
        <w:rPr>
          <w:rFonts w:hint="eastAsia" w:ascii="仿宋" w:hAnsi="仿宋" w:eastAsia="仿宋" w:cs="仿宋"/>
          <w:sz w:val="28"/>
          <w:szCs w:val="28"/>
        </w:rPr>
        <w:t>行程单》最终版本，《</w:t>
      </w:r>
      <w:r>
        <w:rPr>
          <w:rFonts w:hint="eastAsia" w:ascii="仿宋" w:hAnsi="仿宋" w:eastAsia="仿宋" w:cs="仿宋"/>
          <w:sz w:val="28"/>
          <w:szCs w:val="28"/>
          <w:lang w:val="en-US" w:eastAsia="zh-CN"/>
        </w:rPr>
        <w:t>活动</w:t>
      </w:r>
      <w:r>
        <w:rPr>
          <w:rFonts w:hint="eastAsia" w:ascii="仿宋" w:hAnsi="仿宋" w:eastAsia="仿宋" w:cs="仿宋"/>
          <w:sz w:val="28"/>
          <w:szCs w:val="28"/>
        </w:rPr>
        <w:t>行程单》由甲方制订并提供；详见附件三《</w:t>
      </w:r>
      <w:r>
        <w:rPr>
          <w:rFonts w:hint="eastAsia" w:ascii="仿宋" w:hAnsi="仿宋" w:eastAsia="仿宋" w:cs="仿宋"/>
          <w:sz w:val="28"/>
          <w:szCs w:val="28"/>
          <w:lang w:val="en-US" w:eastAsia="zh-CN"/>
        </w:rPr>
        <w:t>活动</w:t>
      </w:r>
      <w:r>
        <w:rPr>
          <w:rFonts w:hint="eastAsia" w:ascii="仿宋" w:hAnsi="仿宋" w:eastAsia="仿宋" w:cs="仿宋"/>
          <w:sz w:val="28"/>
          <w:szCs w:val="28"/>
        </w:rPr>
        <w:t>行程单》。</w:t>
      </w:r>
    </w:p>
    <w:p w14:paraId="300EA74A">
      <w:pPr>
        <w:keepNext w:val="0"/>
        <w:keepLines w:val="0"/>
        <w:pageBreakBefore w:val="0"/>
        <w:widowControl w:val="0"/>
        <w:numPr>
          <w:ilvl w:val="0"/>
          <w:numId w:val="7"/>
        </w:numPr>
        <w:kinsoku/>
        <w:wordWrap/>
        <w:overflowPunct/>
        <w:topLinePunct w:val="0"/>
        <w:autoSpaceDE/>
        <w:autoSpaceDN/>
        <w:bidi w:val="0"/>
        <w:adjustRightInd w:val="0"/>
        <w:snapToGrid w:val="0"/>
        <w:spacing w:after="0" w:line="560" w:lineRule="exact"/>
        <w:ind w:left="360" w:hanging="420" w:hangingChars="15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活动</w:t>
      </w:r>
      <w:r>
        <w:rPr>
          <w:rFonts w:hint="eastAsia" w:ascii="仿宋" w:hAnsi="仿宋" w:eastAsia="仿宋" w:cs="仿宋"/>
          <w:sz w:val="28"/>
          <w:szCs w:val="28"/>
        </w:rPr>
        <w:t>行程单》一经确认，任何一方不得擅自做出变更，遇有特殊情况必须变更者，双方可以通过</w:t>
      </w:r>
      <w:r>
        <w:rPr>
          <w:rFonts w:hint="eastAsia" w:ascii="仿宋" w:hAnsi="仿宋" w:eastAsia="仿宋" w:cs="仿宋"/>
          <w:sz w:val="28"/>
          <w:szCs w:val="28"/>
          <w:lang w:eastAsia="zh-CN"/>
        </w:rPr>
        <w:t>以下</w:t>
      </w:r>
      <w:r>
        <w:rPr>
          <w:rFonts w:hint="eastAsia" w:ascii="仿宋" w:hAnsi="仿宋" w:eastAsia="仿宋" w:cs="仿宋"/>
          <w:sz w:val="28"/>
          <w:szCs w:val="28"/>
        </w:rPr>
        <w:t>方式沟通并予以确认：</w:t>
      </w:r>
    </w:p>
    <w:p w14:paraId="700EF6E4">
      <w:pPr>
        <w:keepNext w:val="0"/>
        <w:keepLines w:val="0"/>
        <w:pageBreakBefore w:val="0"/>
        <w:widowControl w:val="0"/>
        <w:numPr>
          <w:ilvl w:val="0"/>
          <w:numId w:val="8"/>
        </w:numPr>
        <w:kinsoku/>
        <w:wordWrap/>
        <w:overflowPunct/>
        <w:topLinePunct w:val="0"/>
        <w:autoSpaceDE/>
        <w:autoSpaceDN/>
        <w:bidi w:val="0"/>
        <w:adjustRightInd w:val="0"/>
        <w:snapToGrid w:val="0"/>
        <w:spacing w:after="0" w:line="560" w:lineRule="exact"/>
        <w:ind w:left="480" w:hanging="560" w:hanging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双方</w:t>
      </w:r>
      <w:r>
        <w:rPr>
          <w:rFonts w:hint="eastAsia" w:ascii="仿宋" w:hAnsi="仿宋" w:eastAsia="仿宋" w:cs="仿宋"/>
          <w:color w:val="000000"/>
          <w:sz w:val="28"/>
          <w:szCs w:val="28"/>
          <w:lang w:val="en-US" w:eastAsia="zh-CN"/>
        </w:rPr>
        <w:t>本协议中指定联系人</w:t>
      </w:r>
      <w:r>
        <w:rPr>
          <w:rFonts w:hint="eastAsia" w:ascii="仿宋" w:hAnsi="仿宋" w:eastAsia="仿宋" w:cs="仿宋"/>
          <w:color w:val="000000"/>
          <w:sz w:val="28"/>
          <w:szCs w:val="28"/>
        </w:rPr>
        <w:t>通过电话、微信、邮件等方式沟通往来，并在微信群内确认；</w:t>
      </w:r>
    </w:p>
    <w:p w14:paraId="3D4580D4">
      <w:pPr>
        <w:keepNext w:val="0"/>
        <w:keepLines w:val="0"/>
        <w:pageBreakBefore w:val="0"/>
        <w:widowControl w:val="0"/>
        <w:numPr>
          <w:ilvl w:val="0"/>
          <w:numId w:val="8"/>
        </w:numPr>
        <w:kinsoku/>
        <w:wordWrap/>
        <w:overflowPunct/>
        <w:topLinePunct w:val="0"/>
        <w:autoSpaceDE/>
        <w:autoSpaceDN/>
        <w:bidi w:val="0"/>
        <w:adjustRightInd w:val="0"/>
        <w:snapToGrid w:val="0"/>
        <w:spacing w:after="0" w:line="560" w:lineRule="exact"/>
        <w:ind w:left="480" w:hanging="560" w:hanging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双方事后达成的补充协议；</w:t>
      </w:r>
    </w:p>
    <w:p w14:paraId="2FB40926">
      <w:pPr>
        <w:keepNext w:val="0"/>
        <w:keepLines w:val="0"/>
        <w:pageBreakBefore w:val="0"/>
        <w:widowControl w:val="0"/>
        <w:numPr>
          <w:ilvl w:val="0"/>
          <w:numId w:val="8"/>
        </w:numPr>
        <w:kinsoku/>
        <w:wordWrap/>
        <w:overflowPunct/>
        <w:topLinePunct w:val="0"/>
        <w:autoSpaceDE/>
        <w:autoSpaceDN/>
        <w:bidi w:val="0"/>
        <w:adjustRightInd w:val="0"/>
        <w:snapToGrid w:val="0"/>
        <w:spacing w:after="0" w:line="560" w:lineRule="exact"/>
        <w:ind w:left="480" w:hanging="560" w:hanging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财务确认及结算单据；</w:t>
      </w:r>
    </w:p>
    <w:p w14:paraId="3FFEADEB">
      <w:pPr>
        <w:keepNext w:val="0"/>
        <w:keepLines w:val="0"/>
        <w:pageBreakBefore w:val="0"/>
        <w:widowControl w:val="0"/>
        <w:numPr>
          <w:ilvl w:val="0"/>
          <w:numId w:val="8"/>
        </w:numPr>
        <w:kinsoku/>
        <w:wordWrap/>
        <w:overflowPunct/>
        <w:topLinePunct w:val="0"/>
        <w:autoSpaceDE/>
        <w:autoSpaceDN/>
        <w:bidi w:val="0"/>
        <w:adjustRightInd w:val="0"/>
        <w:snapToGrid w:val="0"/>
        <w:spacing w:after="0" w:line="560" w:lineRule="exact"/>
        <w:ind w:left="480" w:hanging="560" w:hanging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其他约定：如应急时采用邮件、短信、微信等通讯工具通知的、依本协议约定或经双方确认的变更信息。</w:t>
      </w:r>
    </w:p>
    <w:p w14:paraId="1DC8A850">
      <w:pPr>
        <w:pStyle w:val="24"/>
        <w:keepNext w:val="0"/>
        <w:keepLines w:val="0"/>
        <w:pageBreakBefore w:val="0"/>
        <w:tabs>
          <w:tab w:val="center" w:pos="4153"/>
          <w:tab w:val="right" w:pos="8306"/>
          <w:tab w:val="clear" w:pos="4680"/>
          <w:tab w:val="clear" w:pos="9360"/>
        </w:tabs>
        <w:kinsoku/>
        <w:wordWrap/>
        <w:overflowPunct/>
        <w:topLinePunct w:val="0"/>
        <w:autoSpaceDE/>
        <w:autoSpaceDN/>
        <w:bidi w:val="0"/>
        <w:adjustRightInd w:val="0"/>
        <w:spacing w:line="560" w:lineRule="exact"/>
        <w:ind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对于因</w:t>
      </w:r>
      <w:r>
        <w:rPr>
          <w:rFonts w:hint="eastAsia" w:ascii="仿宋" w:hAnsi="仿宋" w:eastAsia="仿宋" w:cs="仿宋"/>
          <w:color w:val="000000"/>
          <w:sz w:val="28"/>
          <w:szCs w:val="28"/>
          <w:lang w:eastAsia="zh-CN"/>
        </w:rPr>
        <w:t>协议</w:t>
      </w:r>
      <w:r>
        <w:rPr>
          <w:rFonts w:hint="eastAsia" w:ascii="仿宋" w:hAnsi="仿宋" w:eastAsia="仿宋" w:cs="仿宋"/>
          <w:color w:val="000000"/>
          <w:sz w:val="28"/>
          <w:szCs w:val="28"/>
        </w:rPr>
        <w:t>签订、履行沟通协调或通知对方及因</w:t>
      </w:r>
      <w:r>
        <w:rPr>
          <w:rFonts w:hint="eastAsia" w:ascii="仿宋" w:hAnsi="仿宋" w:eastAsia="仿宋" w:cs="仿宋"/>
          <w:color w:val="000000"/>
          <w:sz w:val="28"/>
          <w:szCs w:val="28"/>
          <w:lang w:eastAsia="zh-CN"/>
        </w:rPr>
        <w:t>协议</w:t>
      </w:r>
      <w:r>
        <w:rPr>
          <w:rFonts w:hint="eastAsia" w:ascii="仿宋" w:hAnsi="仿宋" w:eastAsia="仿宋" w:cs="仿宋"/>
          <w:color w:val="000000"/>
          <w:sz w:val="28"/>
          <w:szCs w:val="28"/>
        </w:rPr>
        <w:t>争议引起的纠纷，双方确认一方或司法、仲裁机关可以通过前述约定的任何一种或多种方式送达对方（包括诉讼法律文书等），送达时间以其中最先送达的为准。以专人送达时（含快递等），签收、拒收、无法送达视为送达；以电子邮件送达时，以邮件进入收件方系统第2个工作日上午10时视为送达；以微信送达时，按微信发送方显示发送成功第2日上午10时视为送达。</w:t>
      </w:r>
    </w:p>
    <w:p w14:paraId="495847F7">
      <w:pPr>
        <w:pStyle w:val="24"/>
        <w:keepNext w:val="0"/>
        <w:keepLines w:val="0"/>
        <w:pageBreakBefore w:val="0"/>
        <w:tabs>
          <w:tab w:val="center" w:pos="4153"/>
          <w:tab w:val="right" w:pos="8306"/>
          <w:tab w:val="clear" w:pos="4680"/>
          <w:tab w:val="clear" w:pos="9360"/>
        </w:tabs>
        <w:kinsoku/>
        <w:wordWrap/>
        <w:overflowPunct/>
        <w:topLinePunct w:val="0"/>
        <w:autoSpaceDE/>
        <w:autoSpaceDN/>
        <w:bidi w:val="0"/>
        <w:adjustRightInd w:val="0"/>
        <w:spacing w:line="560" w:lineRule="exact"/>
        <w:ind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双方共同确认：上述送达方式适用于</w:t>
      </w:r>
      <w:r>
        <w:rPr>
          <w:rFonts w:hint="eastAsia" w:ascii="仿宋" w:hAnsi="仿宋" w:eastAsia="仿宋" w:cs="仿宋"/>
          <w:color w:val="000000"/>
          <w:sz w:val="28"/>
          <w:szCs w:val="28"/>
          <w:lang w:eastAsia="zh-CN"/>
        </w:rPr>
        <w:t>协议</w:t>
      </w:r>
      <w:r>
        <w:rPr>
          <w:rFonts w:hint="eastAsia" w:ascii="仿宋" w:hAnsi="仿宋" w:eastAsia="仿宋" w:cs="仿宋"/>
          <w:color w:val="000000"/>
          <w:sz w:val="28"/>
          <w:szCs w:val="28"/>
        </w:rPr>
        <w:t>履行中各个阶段及各个仲裁、司法阶段，包括但不限于一审、二审、再审、执行以及督促程序。同时双方保证送达地址准确、有效，如果提供的地址不确切，或者不及时告知变更后的地址，使通知或法律文书等无法送达或未及时送达，自行承担由此可能产生的法律后果。一方变更上述送达方式时应提前3日书面通知对方，否则视为未变更。</w:t>
      </w:r>
    </w:p>
    <w:p w14:paraId="17B83149">
      <w:pPr>
        <w:keepNext w:val="0"/>
        <w:keepLines w:val="0"/>
        <w:pageBreakBefore w:val="0"/>
        <w:numPr>
          <w:ilvl w:val="0"/>
          <w:numId w:val="7"/>
        </w:numPr>
        <w:kinsoku/>
        <w:wordWrap/>
        <w:overflowPunct/>
        <w:topLinePunct w:val="0"/>
        <w:autoSpaceDE/>
        <w:autoSpaceDN/>
        <w:bidi w:val="0"/>
        <w:adjustRightInd w:val="0"/>
        <w:snapToGrid w:val="0"/>
        <w:spacing w:line="560" w:lineRule="exact"/>
        <w:ind w:left="360" w:hanging="420" w:hangingChars="150"/>
        <w:rPr>
          <w:rFonts w:hint="eastAsia" w:ascii="仿宋" w:hAnsi="仿宋" w:eastAsia="仿宋" w:cs="仿宋"/>
          <w:sz w:val="28"/>
          <w:szCs w:val="28"/>
        </w:rPr>
      </w:pPr>
      <w:r>
        <w:rPr>
          <w:rFonts w:hint="eastAsia" w:ascii="仿宋" w:hAnsi="仿宋" w:eastAsia="仿宋" w:cs="仿宋"/>
          <w:sz w:val="28"/>
          <w:szCs w:val="28"/>
        </w:rPr>
        <w:t>乙方应</w:t>
      </w:r>
      <w:r>
        <w:rPr>
          <w:rFonts w:hint="eastAsia" w:ascii="仿宋" w:hAnsi="仿宋" w:eastAsia="仿宋" w:cs="仿宋"/>
          <w:sz w:val="28"/>
          <w:szCs w:val="28"/>
          <w:lang w:val="en-US" w:eastAsia="zh-CN"/>
        </w:rPr>
        <w:t>向甲方提供</w:t>
      </w:r>
      <w:r>
        <w:rPr>
          <w:rFonts w:hint="eastAsia" w:ascii="仿宋" w:hAnsi="仿宋" w:eastAsia="仿宋" w:cs="仿宋"/>
          <w:sz w:val="28"/>
          <w:szCs w:val="28"/>
        </w:rPr>
        <w:t>《安全管理制度》、《突发事件处理预案》、《活动负责人、具体经办人员信息表（列明姓名、身份证号码、联系电话）》等文书材料</w:t>
      </w:r>
      <w:r>
        <w:rPr>
          <w:rFonts w:hint="eastAsia" w:ascii="仿宋" w:hAnsi="仿宋" w:eastAsia="仿宋" w:cs="仿宋"/>
          <w:sz w:val="28"/>
          <w:szCs w:val="28"/>
          <w:lang w:val="en-US" w:eastAsia="zh-CN"/>
        </w:rPr>
        <w:t>作为本协议之附件，一并交给</w:t>
      </w:r>
      <w:r>
        <w:rPr>
          <w:rFonts w:hint="eastAsia" w:ascii="仿宋" w:hAnsi="仿宋" w:eastAsia="仿宋" w:cs="仿宋"/>
          <w:sz w:val="28"/>
          <w:szCs w:val="28"/>
        </w:rPr>
        <w:t>甲方。</w:t>
      </w:r>
    </w:p>
    <w:p w14:paraId="5CCE32B1">
      <w:pPr>
        <w:keepNext w:val="0"/>
        <w:keepLines w:val="0"/>
        <w:pageBreakBefore w:val="0"/>
        <w:numPr>
          <w:ilvl w:val="0"/>
          <w:numId w:val="7"/>
        </w:numPr>
        <w:kinsoku/>
        <w:wordWrap/>
        <w:overflowPunct/>
        <w:topLinePunct w:val="0"/>
        <w:autoSpaceDE/>
        <w:autoSpaceDN/>
        <w:bidi w:val="0"/>
        <w:adjustRightInd w:val="0"/>
        <w:snapToGrid w:val="0"/>
        <w:spacing w:line="560" w:lineRule="exact"/>
        <w:ind w:left="360" w:hanging="420" w:hangingChars="150"/>
        <w:rPr>
          <w:rFonts w:hint="eastAsia" w:ascii="仿宋" w:hAnsi="仿宋" w:eastAsia="仿宋" w:cs="仿宋"/>
          <w:sz w:val="28"/>
          <w:szCs w:val="28"/>
        </w:rPr>
      </w:pPr>
      <w:r>
        <w:rPr>
          <w:rFonts w:hint="eastAsia" w:ascii="仿宋" w:hAnsi="仿宋" w:eastAsia="仿宋" w:cs="仿宋"/>
          <w:sz w:val="28"/>
          <w:szCs w:val="28"/>
        </w:rPr>
        <w:t>乙方的所提供服务标准，不得低于甲方《国内</w:t>
      </w:r>
      <w:r>
        <w:rPr>
          <w:rFonts w:hint="eastAsia" w:ascii="仿宋" w:hAnsi="仿宋" w:eastAsia="仿宋" w:cs="仿宋"/>
          <w:sz w:val="28"/>
          <w:szCs w:val="28"/>
          <w:lang w:eastAsia="zh-CN"/>
        </w:rPr>
        <w:t>研修</w:t>
      </w:r>
      <w:r>
        <w:rPr>
          <w:rFonts w:hint="eastAsia" w:ascii="仿宋" w:hAnsi="仿宋" w:eastAsia="仿宋" w:cs="仿宋"/>
          <w:sz w:val="28"/>
          <w:szCs w:val="28"/>
        </w:rPr>
        <w:t>项目供应商管理办法》</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如有）</w:t>
      </w:r>
      <w:r>
        <w:rPr>
          <w:rFonts w:hint="eastAsia" w:ascii="仿宋" w:hAnsi="仿宋" w:eastAsia="仿宋" w:cs="仿宋"/>
          <w:sz w:val="28"/>
          <w:szCs w:val="28"/>
        </w:rPr>
        <w:t>之相关规定，如有甲方《国内</w:t>
      </w:r>
      <w:r>
        <w:rPr>
          <w:rFonts w:hint="eastAsia" w:ascii="仿宋" w:hAnsi="仿宋" w:eastAsia="仿宋" w:cs="仿宋"/>
          <w:sz w:val="28"/>
          <w:szCs w:val="28"/>
          <w:lang w:eastAsia="zh-CN"/>
        </w:rPr>
        <w:t>研修</w:t>
      </w:r>
      <w:r>
        <w:rPr>
          <w:rFonts w:hint="eastAsia" w:ascii="仿宋" w:hAnsi="仿宋" w:eastAsia="仿宋" w:cs="仿宋"/>
          <w:sz w:val="28"/>
          <w:szCs w:val="28"/>
        </w:rPr>
        <w:t>项目供应商管理办法》未能明确之项目，乙方参照不低于相关的国家标准和行业标准执行</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以前述两者中较严格者为准）</w:t>
      </w:r>
      <w:r>
        <w:rPr>
          <w:rFonts w:hint="eastAsia" w:ascii="仿宋" w:hAnsi="仿宋" w:eastAsia="仿宋" w:cs="仿宋"/>
          <w:sz w:val="28"/>
          <w:szCs w:val="28"/>
        </w:rPr>
        <w:t>。</w:t>
      </w:r>
    </w:p>
    <w:p w14:paraId="23159B2F">
      <w:pPr>
        <w:keepNext w:val="0"/>
        <w:keepLines w:val="0"/>
        <w:pageBreakBefore w:val="0"/>
        <w:numPr>
          <w:ilvl w:val="0"/>
          <w:numId w:val="7"/>
        </w:numPr>
        <w:kinsoku/>
        <w:wordWrap/>
        <w:overflowPunct/>
        <w:topLinePunct w:val="0"/>
        <w:autoSpaceDE/>
        <w:autoSpaceDN/>
        <w:bidi w:val="0"/>
        <w:adjustRightInd w:val="0"/>
        <w:snapToGrid w:val="0"/>
        <w:spacing w:line="560" w:lineRule="exact"/>
        <w:ind w:left="360" w:hanging="420" w:hangingChars="150"/>
        <w:rPr>
          <w:rFonts w:hint="eastAsia" w:ascii="仿宋" w:hAnsi="仿宋" w:eastAsia="仿宋" w:cs="仿宋"/>
          <w:sz w:val="28"/>
          <w:szCs w:val="28"/>
        </w:rPr>
      </w:pPr>
      <w:r>
        <w:rPr>
          <w:rFonts w:hint="eastAsia" w:ascii="仿宋" w:hAnsi="仿宋" w:eastAsia="仿宋" w:cs="仿宋"/>
          <w:sz w:val="28"/>
          <w:szCs w:val="28"/>
        </w:rPr>
        <w:t>此次</w:t>
      </w:r>
      <w:r>
        <w:rPr>
          <w:rFonts w:hint="eastAsia" w:ascii="仿宋" w:hAnsi="仿宋" w:eastAsia="仿宋" w:cs="仿宋"/>
          <w:sz w:val="28"/>
          <w:szCs w:val="28"/>
          <w:lang w:val="en-US" w:eastAsia="zh-CN"/>
        </w:rPr>
        <w:t>研修实践营活动</w:t>
      </w:r>
      <w:r>
        <w:rPr>
          <w:rFonts w:hint="eastAsia" w:ascii="仿宋" w:hAnsi="仿宋" w:eastAsia="仿宋" w:cs="仿宋"/>
          <w:sz w:val="28"/>
          <w:szCs w:val="28"/>
        </w:rPr>
        <w:t>明确以下内容：</w:t>
      </w:r>
    </w:p>
    <w:p w14:paraId="41C77251">
      <w:pPr>
        <w:keepNext w:val="0"/>
        <w:keepLines w:val="0"/>
        <w:pageBreakBefore w:val="0"/>
        <w:numPr>
          <w:ilvl w:val="0"/>
          <w:numId w:val="9"/>
        </w:numPr>
        <w:kinsoku/>
        <w:wordWrap/>
        <w:overflowPunct/>
        <w:topLinePunct w:val="0"/>
        <w:autoSpaceDE/>
        <w:autoSpaceDN/>
        <w:bidi w:val="0"/>
        <w:adjustRightInd w:val="0"/>
        <w:snapToGrid w:val="0"/>
        <w:spacing w:line="560" w:lineRule="exact"/>
        <w:ind w:left="480" w:hanging="560" w:hangingChars="200"/>
        <w:rPr>
          <w:rFonts w:hint="eastAsia" w:ascii="仿宋" w:hAnsi="仿宋" w:eastAsia="仿宋" w:cs="仿宋"/>
          <w:sz w:val="28"/>
          <w:szCs w:val="28"/>
        </w:rPr>
      </w:pPr>
      <w:r>
        <w:rPr>
          <w:rFonts w:hint="eastAsia" w:ascii="仿宋" w:hAnsi="仿宋" w:eastAsia="仿宋" w:cs="仿宋"/>
          <w:color w:val="000000"/>
          <w:sz w:val="28"/>
          <w:szCs w:val="28"/>
          <w:lang w:val="en-US" w:eastAsia="zh-CN"/>
        </w:rPr>
        <w:t>活动</w:t>
      </w:r>
      <w:r>
        <w:rPr>
          <w:rFonts w:hint="eastAsia" w:ascii="仿宋" w:hAnsi="仿宋" w:eastAsia="仿宋" w:cs="仿宋"/>
          <w:color w:val="000000"/>
          <w:sz w:val="28"/>
          <w:szCs w:val="28"/>
        </w:rPr>
        <w:t>人数、领队及随队老师人数及具体名单；名单包括身份证号码、监护人联系方式、带队老师联系方式；</w:t>
      </w:r>
    </w:p>
    <w:p w14:paraId="3F8D5976">
      <w:pPr>
        <w:keepNext w:val="0"/>
        <w:keepLines w:val="0"/>
        <w:pageBreakBefore w:val="0"/>
        <w:numPr>
          <w:ilvl w:val="0"/>
          <w:numId w:val="9"/>
        </w:numPr>
        <w:kinsoku/>
        <w:wordWrap/>
        <w:overflowPunct/>
        <w:topLinePunct w:val="0"/>
        <w:autoSpaceDE/>
        <w:autoSpaceDN/>
        <w:bidi w:val="0"/>
        <w:adjustRightInd w:val="0"/>
        <w:snapToGrid w:val="0"/>
        <w:spacing w:line="560" w:lineRule="exact"/>
        <w:ind w:left="480" w:hanging="560" w:hangingChars="200"/>
        <w:rPr>
          <w:rFonts w:hint="eastAsia" w:ascii="仿宋" w:hAnsi="仿宋" w:eastAsia="仿宋" w:cs="仿宋"/>
          <w:sz w:val="28"/>
          <w:szCs w:val="28"/>
          <w:lang w:val="en-US" w:eastAsia="zh-CN"/>
        </w:rPr>
      </w:pPr>
      <w:r>
        <w:rPr>
          <w:rFonts w:hint="eastAsia" w:ascii="仿宋" w:hAnsi="仿宋" w:eastAsia="仿宋" w:cs="仿宋"/>
          <w:color w:val="000000"/>
          <w:sz w:val="28"/>
          <w:szCs w:val="28"/>
        </w:rPr>
        <w:t>此次接待总费</w:t>
      </w:r>
      <w:r>
        <w:rPr>
          <w:rFonts w:hint="eastAsia" w:ascii="仿宋" w:hAnsi="仿宋" w:eastAsia="仿宋" w:cs="仿宋"/>
          <w:color w:val="000000"/>
          <w:sz w:val="28"/>
          <w:szCs w:val="28"/>
          <w:highlight w:val="none"/>
        </w:rPr>
        <w:t>用</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sz w:val="28"/>
          <w:szCs w:val="28"/>
          <w:u w:val="single"/>
        </w:rPr>
        <w:t>元</w:t>
      </w:r>
      <w:r>
        <w:rPr>
          <w:rFonts w:hint="eastAsia" w:ascii="仿宋" w:hAnsi="仿宋" w:eastAsia="仿宋" w:cs="仿宋"/>
          <w:sz w:val="28"/>
          <w:szCs w:val="28"/>
          <w:lang w:eastAsia="zh-CN"/>
        </w:rPr>
        <w:t>，大写（</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r>
        <w:rPr>
          <w:rFonts w:hint="eastAsia" w:ascii="仿宋" w:hAnsi="仿宋" w:eastAsia="仿宋" w:cs="仿宋"/>
          <w:sz w:val="28"/>
          <w:szCs w:val="28"/>
        </w:rPr>
        <w:t>；</w:t>
      </w:r>
    </w:p>
    <w:p w14:paraId="0811EB29">
      <w:pPr>
        <w:keepNext w:val="0"/>
        <w:keepLines w:val="0"/>
        <w:pageBreakBefore w:val="0"/>
        <w:numPr>
          <w:ilvl w:val="-1"/>
          <w:numId w:val="0"/>
        </w:numPr>
        <w:kinsoku/>
        <w:wordWrap/>
        <w:overflowPunct/>
        <w:topLinePunct w:val="0"/>
        <w:autoSpaceDE/>
        <w:autoSpaceDN/>
        <w:bidi w:val="0"/>
        <w:adjustRightInd w:val="0"/>
        <w:snapToGrid w:val="0"/>
        <w:spacing w:line="560" w:lineRule="exact"/>
        <w:ind w:left="437" w:leftChars="182" w:firstLine="0" w:firstLineChars="0"/>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详见附件二《</w:t>
      </w:r>
      <w:r>
        <w:rPr>
          <w:rStyle w:val="133"/>
          <w:rFonts w:hint="eastAsia" w:ascii="仿宋" w:hAnsi="仿宋" w:eastAsia="仿宋" w:cs="仿宋"/>
          <w:b w:val="0"/>
          <w:color w:val="000000"/>
          <w:sz w:val="28"/>
          <w:szCs w:val="28"/>
        </w:rPr>
        <w:t>费用明细表</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且乙方知悉并同意，本合同项下费用总额</w:t>
      </w:r>
      <w:r>
        <w:rPr>
          <w:rStyle w:val="133"/>
          <w:rFonts w:hint="eastAsia" w:ascii="仿宋" w:hAnsi="仿宋" w:eastAsia="仿宋" w:cs="仿宋"/>
          <w:color w:val="000000"/>
          <w:sz w:val="28"/>
          <w:szCs w:val="28"/>
          <w:lang w:val="en-US" w:eastAsia="zh-CN"/>
        </w:rPr>
        <w:t xml:space="preserve">最高不得超过人民币￥         </w:t>
      </w:r>
      <w:r>
        <w:rPr>
          <w:rFonts w:hint="eastAsia" w:ascii="仿宋" w:hAnsi="仿宋" w:eastAsia="仿宋" w:cs="仿宋"/>
          <w:color w:val="000000"/>
          <w:sz w:val="28"/>
          <w:szCs w:val="28"/>
          <w:lang w:val="en-US" w:eastAsia="zh-CN"/>
        </w:rPr>
        <w:t>（大写：     元整）</w:t>
      </w:r>
      <w:r>
        <w:rPr>
          <w:rStyle w:val="133"/>
          <w:rFonts w:hint="eastAsia" w:ascii="仿宋" w:hAnsi="仿宋" w:eastAsia="仿宋" w:cs="仿宋"/>
          <w:color w:val="000000"/>
          <w:sz w:val="28"/>
          <w:szCs w:val="28"/>
          <w:lang w:val="en-US" w:eastAsia="zh-CN"/>
        </w:rPr>
        <w:t>，超出部分乙方自行负担。</w:t>
      </w:r>
    </w:p>
    <w:p w14:paraId="23643AF7">
      <w:pPr>
        <w:keepNext w:val="0"/>
        <w:keepLines w:val="0"/>
        <w:pageBreakBefore w:val="0"/>
        <w:numPr>
          <w:ilvl w:val="0"/>
          <w:numId w:val="9"/>
        </w:numPr>
        <w:kinsoku/>
        <w:wordWrap/>
        <w:overflowPunct/>
        <w:topLinePunct w:val="0"/>
        <w:autoSpaceDE/>
        <w:autoSpaceDN/>
        <w:bidi w:val="0"/>
        <w:adjustRightInd w:val="0"/>
        <w:snapToGrid w:val="0"/>
        <w:spacing w:line="560" w:lineRule="exact"/>
        <w:ind w:left="480" w:hanging="560"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此次按照抵离时间、车次</w:t>
      </w:r>
      <w:r>
        <w:rPr>
          <w:rFonts w:hint="eastAsia" w:ascii="仿宋" w:hAnsi="仿宋" w:eastAsia="仿宋" w:cs="仿宋"/>
          <w:color w:val="000000"/>
          <w:sz w:val="28"/>
          <w:szCs w:val="28"/>
          <w:lang w:eastAsia="zh-CN"/>
        </w:rPr>
        <w:t>；</w:t>
      </w:r>
    </w:p>
    <w:p w14:paraId="53BD1C14">
      <w:pPr>
        <w:keepNext w:val="0"/>
        <w:keepLines w:val="0"/>
        <w:pageBreakBefore w:val="0"/>
        <w:numPr>
          <w:ilvl w:val="0"/>
          <w:numId w:val="9"/>
        </w:numPr>
        <w:kinsoku/>
        <w:wordWrap/>
        <w:overflowPunct/>
        <w:topLinePunct w:val="0"/>
        <w:autoSpaceDE/>
        <w:autoSpaceDN/>
        <w:bidi w:val="0"/>
        <w:adjustRightInd w:val="0"/>
        <w:snapToGrid w:val="0"/>
        <w:spacing w:line="560" w:lineRule="exact"/>
        <w:ind w:left="480" w:hanging="560"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乙方参照事先约定的标准，安排交通、餐饮、保险等服务；如有特别要求，标注如下：</w:t>
      </w:r>
    </w:p>
    <w:p w14:paraId="2BC3EAB7">
      <w:pPr>
        <w:keepNext w:val="0"/>
        <w:keepLines w:val="0"/>
        <w:pageBreakBefore w:val="0"/>
        <w:numPr>
          <w:ilvl w:val="0"/>
          <w:numId w:val="10"/>
        </w:numPr>
        <w:kinsoku/>
        <w:wordWrap/>
        <w:overflowPunct/>
        <w:topLinePunct w:val="0"/>
        <w:autoSpaceDE/>
        <w:autoSpaceDN/>
        <w:bidi w:val="0"/>
        <w:adjustRightInd w:val="0"/>
        <w:snapToGrid w:val="0"/>
        <w:spacing w:line="560" w:lineRule="exact"/>
        <w:rPr>
          <w:rFonts w:hint="eastAsia" w:ascii="仿宋" w:hAnsi="仿宋" w:eastAsia="仿宋" w:cs="仿宋"/>
          <w:sz w:val="28"/>
          <w:szCs w:val="28"/>
        </w:rPr>
      </w:pPr>
      <w:r>
        <w:rPr>
          <w:rFonts w:hint="eastAsia" w:ascii="仿宋" w:hAnsi="仿宋" w:eastAsia="仿宋" w:cs="仿宋"/>
          <w:color w:val="000000"/>
          <w:sz w:val="28"/>
          <w:szCs w:val="28"/>
        </w:rPr>
        <w:t>交通标准及要求；</w:t>
      </w:r>
      <w:r>
        <w:rPr>
          <w:rFonts w:hint="eastAsia" w:ascii="仿宋" w:hAnsi="仿宋" w:eastAsia="仿宋" w:cs="仿宋"/>
          <w:color w:val="000000"/>
          <w:sz w:val="28"/>
          <w:szCs w:val="28"/>
          <w:u w:val="single"/>
        </w:rPr>
        <w:t>正规运营旅游客车</w:t>
      </w:r>
    </w:p>
    <w:p w14:paraId="781D3593">
      <w:pPr>
        <w:keepNext w:val="0"/>
        <w:keepLines w:val="0"/>
        <w:pageBreakBefore w:val="0"/>
        <w:numPr>
          <w:ilvl w:val="0"/>
          <w:numId w:val="9"/>
        </w:numPr>
        <w:kinsoku/>
        <w:wordWrap/>
        <w:overflowPunct/>
        <w:topLinePunct w:val="0"/>
        <w:autoSpaceDE/>
        <w:autoSpaceDN/>
        <w:bidi w:val="0"/>
        <w:adjustRightInd w:val="0"/>
        <w:snapToGrid w:val="0"/>
        <w:spacing w:line="560" w:lineRule="exact"/>
        <w:ind w:left="480" w:hanging="560"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游览行程安排、游览内容及时间；</w:t>
      </w:r>
    </w:p>
    <w:p w14:paraId="3BDC42EA">
      <w:pPr>
        <w:keepNext w:val="0"/>
        <w:keepLines w:val="0"/>
        <w:pageBreakBefore w:val="0"/>
        <w:numPr>
          <w:ilvl w:val="0"/>
          <w:numId w:val="9"/>
        </w:numPr>
        <w:kinsoku/>
        <w:wordWrap/>
        <w:overflowPunct/>
        <w:topLinePunct w:val="0"/>
        <w:autoSpaceDE/>
        <w:autoSpaceDN/>
        <w:bidi w:val="0"/>
        <w:adjustRightInd w:val="0"/>
        <w:snapToGrid w:val="0"/>
        <w:spacing w:line="560" w:lineRule="exact"/>
        <w:ind w:left="480" w:hanging="560"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自由活动次数及时间；</w:t>
      </w:r>
    </w:p>
    <w:p w14:paraId="7F93E5D5">
      <w:pPr>
        <w:keepNext w:val="0"/>
        <w:keepLines w:val="0"/>
        <w:pageBreakBefore w:val="0"/>
        <w:numPr>
          <w:ilvl w:val="0"/>
          <w:numId w:val="9"/>
        </w:numPr>
        <w:kinsoku/>
        <w:wordWrap/>
        <w:overflowPunct/>
        <w:topLinePunct w:val="0"/>
        <w:autoSpaceDE/>
        <w:autoSpaceDN/>
        <w:bidi w:val="0"/>
        <w:adjustRightInd w:val="0"/>
        <w:snapToGrid w:val="0"/>
        <w:spacing w:line="560" w:lineRule="exact"/>
        <w:ind w:left="480" w:hanging="560"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另行付费项目名称及价格；</w:t>
      </w:r>
    </w:p>
    <w:p w14:paraId="5B4D71B6">
      <w:pPr>
        <w:keepNext w:val="0"/>
        <w:keepLines w:val="0"/>
        <w:pageBreakBefore w:val="0"/>
        <w:numPr>
          <w:ilvl w:val="0"/>
          <w:numId w:val="9"/>
        </w:numPr>
        <w:kinsoku/>
        <w:wordWrap/>
        <w:overflowPunct/>
        <w:topLinePunct w:val="0"/>
        <w:autoSpaceDE/>
        <w:autoSpaceDN/>
        <w:bidi w:val="0"/>
        <w:adjustRightInd w:val="0"/>
        <w:snapToGrid w:val="0"/>
        <w:spacing w:line="560" w:lineRule="exact"/>
        <w:ind w:left="480" w:hanging="560"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对</w:t>
      </w:r>
      <w:r>
        <w:rPr>
          <w:rFonts w:hint="eastAsia" w:ascii="仿宋" w:hAnsi="仿宋" w:eastAsia="仿宋" w:cs="仿宋"/>
          <w:color w:val="000000"/>
          <w:sz w:val="28"/>
          <w:szCs w:val="28"/>
          <w:lang w:val="en-US" w:eastAsia="zh-CN"/>
        </w:rPr>
        <w:t>指导</w:t>
      </w:r>
      <w:r>
        <w:rPr>
          <w:rFonts w:hint="eastAsia" w:ascii="仿宋" w:hAnsi="仿宋" w:eastAsia="仿宋" w:cs="仿宋"/>
          <w:color w:val="000000"/>
          <w:sz w:val="28"/>
          <w:szCs w:val="28"/>
        </w:rPr>
        <w:t>导师的要求；</w:t>
      </w:r>
    </w:p>
    <w:p w14:paraId="4265DC51">
      <w:pPr>
        <w:keepNext w:val="0"/>
        <w:keepLines w:val="0"/>
        <w:pageBreakBefore w:val="0"/>
        <w:numPr>
          <w:ilvl w:val="0"/>
          <w:numId w:val="7"/>
        </w:numPr>
        <w:kinsoku/>
        <w:wordWrap/>
        <w:overflowPunct/>
        <w:topLinePunct w:val="0"/>
        <w:autoSpaceDE/>
        <w:autoSpaceDN/>
        <w:bidi w:val="0"/>
        <w:adjustRightInd w:val="0"/>
        <w:snapToGrid w:val="0"/>
        <w:spacing w:line="560" w:lineRule="exact"/>
        <w:rPr>
          <w:rFonts w:hint="eastAsia" w:ascii="仿宋" w:hAnsi="仿宋" w:eastAsia="仿宋" w:cs="仿宋"/>
          <w:sz w:val="28"/>
          <w:szCs w:val="28"/>
        </w:rPr>
      </w:pPr>
      <w:r>
        <w:rPr>
          <w:rFonts w:hint="eastAsia" w:ascii="仿宋" w:hAnsi="仿宋" w:eastAsia="仿宋" w:cs="仿宋"/>
          <w:sz w:val="28"/>
          <w:szCs w:val="28"/>
        </w:rPr>
        <w:t>不可抗力及其他；</w:t>
      </w:r>
    </w:p>
    <w:p w14:paraId="39A9E05D">
      <w:pPr>
        <w:keepNext w:val="0"/>
        <w:keepLines w:val="0"/>
        <w:pageBreakBefore w:val="0"/>
        <w:numPr>
          <w:ilvl w:val="0"/>
          <w:numId w:val="11"/>
        </w:numPr>
        <w:kinsoku/>
        <w:wordWrap/>
        <w:overflowPunct/>
        <w:topLinePunct w:val="0"/>
        <w:autoSpaceDE/>
        <w:autoSpaceDN/>
        <w:bidi w:val="0"/>
        <w:adjustRightInd w:val="0"/>
        <w:snapToGrid w:val="0"/>
        <w:spacing w:line="560" w:lineRule="exact"/>
        <w:ind w:left="480" w:hanging="560"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出团前如遇不可抗力或者甲乙双方已尽合理注意义务仍不能避免的事件，经协商一致，就变更后的内容由双方确认予以变更。紧急情况下，双方可通过电话、微信等进行协商。变更后行程安排在不降低服务标准的前提下，另行安排行程出行。</w:t>
      </w:r>
    </w:p>
    <w:p w14:paraId="24F4D3CC">
      <w:pPr>
        <w:keepNext w:val="0"/>
        <w:keepLines w:val="0"/>
        <w:pageBreakBefore w:val="0"/>
        <w:numPr>
          <w:ilvl w:val="0"/>
          <w:numId w:val="11"/>
        </w:numPr>
        <w:kinsoku/>
        <w:wordWrap/>
        <w:overflowPunct/>
        <w:topLinePunct w:val="0"/>
        <w:autoSpaceDE/>
        <w:autoSpaceDN/>
        <w:bidi w:val="0"/>
        <w:adjustRightInd w:val="0"/>
        <w:snapToGrid w:val="0"/>
        <w:spacing w:line="560" w:lineRule="exact"/>
        <w:ind w:left="480" w:hanging="560"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如因上级主管部门管控政策等导致未能正常出行的，如有政府、卫生健康委员会、教育局、教育委员会或其他相关部门的通知、公告等官方文件，获取前述信息的一方应及时通知对方，此种情况下甲方按照</w:t>
      </w:r>
      <w:r>
        <w:rPr>
          <w:rFonts w:hint="eastAsia" w:ascii="仿宋" w:hAnsi="仿宋" w:eastAsia="仿宋" w:cs="仿宋"/>
          <w:color w:val="000000"/>
          <w:sz w:val="28"/>
          <w:szCs w:val="28"/>
          <w:lang w:val="en-US" w:eastAsia="zh-CN"/>
        </w:rPr>
        <w:t>乙方已</w:t>
      </w:r>
      <w:r>
        <w:rPr>
          <w:rFonts w:hint="eastAsia" w:ascii="仿宋" w:hAnsi="仿宋" w:eastAsia="仿宋" w:cs="仿宋"/>
          <w:color w:val="000000"/>
          <w:sz w:val="28"/>
          <w:szCs w:val="28"/>
        </w:rPr>
        <w:t>实际支出</w:t>
      </w:r>
      <w:r>
        <w:rPr>
          <w:rFonts w:hint="eastAsia" w:ascii="仿宋" w:hAnsi="仿宋" w:eastAsia="仿宋" w:cs="仿宋"/>
          <w:color w:val="000000"/>
          <w:sz w:val="28"/>
          <w:szCs w:val="28"/>
          <w:lang w:val="en-US" w:eastAsia="zh-CN"/>
        </w:rPr>
        <w:t>且无法退还的费用</w:t>
      </w:r>
      <w:r>
        <w:rPr>
          <w:rFonts w:hint="eastAsia" w:ascii="仿宋" w:hAnsi="仿宋" w:eastAsia="仿宋" w:cs="仿宋"/>
          <w:color w:val="000000"/>
          <w:sz w:val="28"/>
          <w:szCs w:val="28"/>
        </w:rPr>
        <w:t>承担，乙方</w:t>
      </w:r>
      <w:r>
        <w:rPr>
          <w:rFonts w:hint="eastAsia" w:ascii="仿宋" w:hAnsi="仿宋" w:eastAsia="仿宋" w:cs="仿宋"/>
          <w:color w:val="000000"/>
          <w:sz w:val="28"/>
          <w:szCs w:val="28"/>
          <w:lang w:val="en-US" w:eastAsia="zh-CN"/>
        </w:rPr>
        <w:t>就甲方已支付的款项</w:t>
      </w:r>
      <w:r>
        <w:rPr>
          <w:rFonts w:hint="eastAsia" w:ascii="仿宋" w:hAnsi="仿宋" w:eastAsia="仿宋" w:cs="仿宋"/>
          <w:color w:val="000000"/>
          <w:sz w:val="28"/>
          <w:szCs w:val="28"/>
        </w:rPr>
        <w:t>扣除</w:t>
      </w:r>
      <w:r>
        <w:rPr>
          <w:rFonts w:hint="eastAsia" w:ascii="仿宋" w:hAnsi="仿宋" w:eastAsia="仿宋" w:cs="仿宋"/>
          <w:color w:val="000000"/>
          <w:sz w:val="28"/>
          <w:szCs w:val="28"/>
          <w:lang w:val="en-US" w:eastAsia="zh-CN"/>
        </w:rPr>
        <w:t>前述已</w:t>
      </w:r>
      <w:r>
        <w:rPr>
          <w:rFonts w:hint="eastAsia" w:ascii="仿宋" w:hAnsi="仿宋" w:eastAsia="仿宋" w:cs="仿宋"/>
          <w:color w:val="000000"/>
          <w:sz w:val="28"/>
          <w:szCs w:val="28"/>
        </w:rPr>
        <w:t>实际支出</w:t>
      </w:r>
      <w:r>
        <w:rPr>
          <w:rFonts w:hint="eastAsia" w:ascii="仿宋" w:hAnsi="仿宋" w:eastAsia="仿宋" w:cs="仿宋"/>
          <w:color w:val="000000"/>
          <w:sz w:val="28"/>
          <w:szCs w:val="28"/>
          <w:lang w:val="en-US" w:eastAsia="zh-CN"/>
        </w:rPr>
        <w:t>且无法退还的费用</w:t>
      </w:r>
      <w:r>
        <w:rPr>
          <w:rFonts w:hint="eastAsia" w:ascii="仿宋" w:hAnsi="仿宋" w:eastAsia="仿宋" w:cs="仿宋"/>
          <w:color w:val="000000"/>
          <w:sz w:val="28"/>
          <w:szCs w:val="28"/>
        </w:rPr>
        <w:t>后退款。</w:t>
      </w:r>
    </w:p>
    <w:p w14:paraId="5904B384">
      <w:pPr>
        <w:keepNext w:val="0"/>
        <w:keepLines w:val="0"/>
        <w:pageBreakBefore w:val="0"/>
        <w:numPr>
          <w:ilvl w:val="0"/>
          <w:numId w:val="11"/>
        </w:numPr>
        <w:kinsoku/>
        <w:wordWrap/>
        <w:overflowPunct/>
        <w:topLinePunct w:val="0"/>
        <w:autoSpaceDE/>
        <w:autoSpaceDN/>
        <w:bidi w:val="0"/>
        <w:adjustRightInd w:val="0"/>
        <w:snapToGrid w:val="0"/>
        <w:spacing w:line="560" w:lineRule="exact"/>
        <w:ind w:left="480" w:hanging="560"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除以上原因及法律法规规定外，出团后不得变更。</w:t>
      </w:r>
    </w:p>
    <w:p w14:paraId="3A8A3E9E">
      <w:pPr>
        <w:keepNext w:val="0"/>
        <w:keepLines w:val="0"/>
        <w:pageBreakBefore w:val="0"/>
        <w:numPr>
          <w:ilvl w:val="0"/>
          <w:numId w:val="11"/>
        </w:numPr>
        <w:kinsoku/>
        <w:wordWrap/>
        <w:overflowPunct/>
        <w:topLinePunct w:val="0"/>
        <w:autoSpaceDE/>
        <w:autoSpaceDN/>
        <w:bidi w:val="0"/>
        <w:adjustRightInd w:val="0"/>
        <w:snapToGrid w:val="0"/>
        <w:spacing w:line="560" w:lineRule="exact"/>
        <w:ind w:left="480" w:hanging="560" w:hangingChars="200"/>
        <w:rPr>
          <w:rFonts w:hint="eastAsia" w:ascii="仿宋" w:hAnsi="仿宋" w:eastAsia="仿宋" w:cs="仿宋"/>
          <w:sz w:val="28"/>
          <w:szCs w:val="28"/>
        </w:rPr>
      </w:pPr>
      <w:r>
        <w:rPr>
          <w:rFonts w:hint="eastAsia" w:ascii="仿宋" w:hAnsi="仿宋" w:eastAsia="仿宋" w:cs="仿宋"/>
          <w:sz w:val="28"/>
          <w:szCs w:val="28"/>
        </w:rPr>
        <w:t>若因不可抗力或乙方已尽审慎注意义务仍无法规避的意外事件等不可归责于甲乙双方的情形造成行程延误、变更，甲乙双方应第一时间协商调整行程安排，相关费用按实际产生金额据实核算。</w:t>
      </w:r>
    </w:p>
    <w:p w14:paraId="374278BF">
      <w:pPr>
        <w:keepNext w:val="0"/>
        <w:keepLines w:val="0"/>
        <w:pageBreakBefore w:val="0"/>
        <w:numPr>
          <w:ilvl w:val="0"/>
          <w:numId w:val="7"/>
        </w:numPr>
        <w:kinsoku/>
        <w:wordWrap/>
        <w:overflowPunct/>
        <w:topLinePunct w:val="0"/>
        <w:autoSpaceDE/>
        <w:autoSpaceDN/>
        <w:bidi w:val="0"/>
        <w:adjustRightInd w:val="0"/>
        <w:snapToGrid w:val="0"/>
        <w:spacing w:line="560" w:lineRule="exact"/>
        <w:rPr>
          <w:rFonts w:hint="eastAsia" w:ascii="仿宋" w:hAnsi="仿宋" w:eastAsia="仿宋" w:cs="仿宋"/>
          <w:sz w:val="28"/>
          <w:szCs w:val="28"/>
        </w:rPr>
      </w:pPr>
      <w:r>
        <w:rPr>
          <w:rFonts w:hint="eastAsia" w:ascii="仿宋" w:hAnsi="仿宋" w:eastAsia="仿宋" w:cs="仿宋"/>
          <w:sz w:val="28"/>
          <w:szCs w:val="28"/>
        </w:rPr>
        <w:t>结算方式：</w:t>
      </w:r>
    </w:p>
    <w:p w14:paraId="65DB4A1F">
      <w:pPr>
        <w:keepNext w:val="0"/>
        <w:keepLines w:val="0"/>
        <w:pageBreakBefore w:val="0"/>
        <w:numPr>
          <w:ilvl w:val="0"/>
          <w:numId w:val="12"/>
        </w:numPr>
        <w:kinsoku/>
        <w:wordWrap/>
        <w:overflowPunct/>
        <w:topLinePunct w:val="0"/>
        <w:autoSpaceDE/>
        <w:autoSpaceDN/>
        <w:bidi w:val="0"/>
        <w:adjustRightInd w:val="0"/>
        <w:snapToGrid w:val="0"/>
        <w:spacing w:line="560" w:lineRule="exact"/>
        <w:ind w:left="480" w:hanging="560" w:hanging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本合同签订之日起30个自然日内</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甲方向乙方支付80%。</w:t>
      </w:r>
      <w:r>
        <w:rPr>
          <w:rFonts w:hint="eastAsia" w:ascii="仿宋" w:hAnsi="仿宋" w:eastAsia="仿宋" w:cs="仿宋"/>
          <w:color w:val="000000"/>
          <w:sz w:val="28"/>
          <w:szCs w:val="28"/>
          <w:lang w:eastAsia="zh-CN"/>
        </w:rPr>
        <w:t>活动</w:t>
      </w:r>
      <w:r>
        <w:rPr>
          <w:rFonts w:hint="eastAsia" w:ascii="仿宋" w:hAnsi="仿宋" w:eastAsia="仿宋" w:cs="仿宋"/>
          <w:color w:val="000000"/>
          <w:sz w:val="28"/>
          <w:szCs w:val="28"/>
        </w:rPr>
        <w:t>结束</w:t>
      </w:r>
      <w:r>
        <w:rPr>
          <w:rFonts w:hint="eastAsia" w:ascii="仿宋" w:hAnsi="仿宋" w:eastAsia="仿宋" w:cs="仿宋"/>
          <w:color w:val="000000"/>
          <w:sz w:val="28"/>
          <w:szCs w:val="28"/>
          <w:lang w:val="en-US" w:eastAsia="zh-CN"/>
        </w:rPr>
        <w:t>并经甲方验收合格，核对无误后</w:t>
      </w:r>
      <w:r>
        <w:rPr>
          <w:rFonts w:hint="eastAsia" w:ascii="仿宋" w:hAnsi="仿宋" w:eastAsia="仿宋" w:cs="仿宋"/>
          <w:color w:val="000000"/>
          <w:sz w:val="28"/>
          <w:szCs w:val="28"/>
        </w:rPr>
        <w:t>30个自然日内支付尾款20%。（暂定，如有变化，双方另行书面确定）；</w:t>
      </w:r>
    </w:p>
    <w:p w14:paraId="3F27071F">
      <w:pPr>
        <w:keepNext w:val="0"/>
        <w:keepLines w:val="0"/>
        <w:pageBreakBefore w:val="0"/>
        <w:numPr>
          <w:ilvl w:val="0"/>
          <w:numId w:val="12"/>
        </w:numPr>
        <w:kinsoku/>
        <w:wordWrap/>
        <w:overflowPunct/>
        <w:topLinePunct w:val="0"/>
        <w:autoSpaceDE/>
        <w:autoSpaceDN/>
        <w:bidi w:val="0"/>
        <w:adjustRightInd w:val="0"/>
        <w:snapToGrid w:val="0"/>
        <w:spacing w:line="560" w:lineRule="exact"/>
        <w:ind w:left="480" w:hanging="560"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遇有特殊情况，双方另行协商。</w:t>
      </w:r>
    </w:p>
    <w:p w14:paraId="026C04E4">
      <w:pPr>
        <w:keepNext w:val="0"/>
        <w:keepLines w:val="0"/>
        <w:pageBreakBefore w:val="0"/>
        <w:numPr>
          <w:ilvl w:val="0"/>
          <w:numId w:val="12"/>
        </w:numPr>
        <w:kinsoku/>
        <w:wordWrap/>
        <w:overflowPunct/>
        <w:topLinePunct w:val="0"/>
        <w:autoSpaceDE/>
        <w:autoSpaceDN/>
        <w:bidi w:val="0"/>
        <w:adjustRightInd w:val="0"/>
        <w:snapToGrid w:val="0"/>
        <w:spacing w:line="560" w:lineRule="exact"/>
        <w:ind w:left="480" w:hanging="560" w:hangingChars="200"/>
        <w:rPr>
          <w:rFonts w:hint="eastAsia" w:ascii="仿宋" w:hAnsi="仿宋" w:eastAsia="仿宋" w:cs="仿宋"/>
          <w:sz w:val="28"/>
          <w:szCs w:val="28"/>
        </w:rPr>
      </w:pPr>
      <w:r>
        <w:rPr>
          <w:rFonts w:hint="eastAsia" w:ascii="仿宋" w:hAnsi="仿宋" w:eastAsia="仿宋" w:cs="仿宋"/>
          <w:sz w:val="28"/>
          <w:szCs w:val="28"/>
        </w:rPr>
        <w:t>乙方应按照甲方关于接待费用结算的要求及时填写结算单，并加盖乙方合同专用章，连同相应增值税普通发票送达甲方财务部门。</w:t>
      </w:r>
    </w:p>
    <w:p w14:paraId="0CCC48C1">
      <w:pPr>
        <w:keepNext w:val="0"/>
        <w:keepLines w:val="0"/>
        <w:pageBreakBefore w:val="0"/>
        <w:numPr>
          <w:ilvl w:val="0"/>
          <w:numId w:val="12"/>
        </w:numPr>
        <w:kinsoku/>
        <w:wordWrap/>
        <w:overflowPunct/>
        <w:topLinePunct w:val="0"/>
        <w:autoSpaceDE/>
        <w:autoSpaceDN/>
        <w:bidi w:val="0"/>
        <w:adjustRightInd w:val="0"/>
        <w:snapToGrid w:val="0"/>
        <w:spacing w:line="560" w:lineRule="exact"/>
        <w:ind w:left="480" w:hanging="560" w:hangingChars="200"/>
        <w:rPr>
          <w:rFonts w:hint="eastAsia" w:ascii="仿宋" w:hAnsi="仿宋" w:eastAsia="仿宋" w:cs="仿宋"/>
          <w:sz w:val="28"/>
          <w:szCs w:val="28"/>
        </w:rPr>
      </w:pPr>
      <w:r>
        <w:rPr>
          <w:rFonts w:hint="eastAsia" w:ascii="仿宋" w:hAnsi="仿宋" w:eastAsia="仿宋" w:cs="仿宋"/>
          <w:sz w:val="28"/>
          <w:szCs w:val="28"/>
        </w:rPr>
        <w:t>甲方应在收到乙方结算单据和发票后</w:t>
      </w:r>
      <w:r>
        <w:rPr>
          <w:rFonts w:hint="eastAsia" w:ascii="仿宋" w:hAnsi="仿宋" w:eastAsia="仿宋" w:cs="仿宋"/>
          <w:sz w:val="28"/>
          <w:szCs w:val="28"/>
          <w:u w:val="single"/>
          <w:lang w:val="en-US" w:eastAsia="zh-CN"/>
        </w:rPr>
        <w:t>10</w:t>
      </w:r>
      <w:r>
        <w:rPr>
          <w:rFonts w:hint="eastAsia" w:ascii="仿宋" w:hAnsi="仿宋" w:eastAsia="仿宋" w:cs="仿宋"/>
          <w:sz w:val="28"/>
          <w:szCs w:val="28"/>
        </w:rPr>
        <w:t>个工作日内核对，核对无误按</w:t>
      </w:r>
      <w:r>
        <w:rPr>
          <w:rFonts w:hint="eastAsia" w:ascii="仿宋" w:hAnsi="仿宋" w:eastAsia="仿宋" w:cs="仿宋"/>
          <w:sz w:val="28"/>
          <w:szCs w:val="28"/>
          <w:lang w:val="en-US" w:eastAsia="zh-CN"/>
        </w:rPr>
        <w:t>前述</w:t>
      </w:r>
      <w:r>
        <w:rPr>
          <w:rFonts w:hint="eastAsia" w:ascii="仿宋" w:hAnsi="仿宋" w:eastAsia="仿宋" w:cs="仿宋"/>
          <w:sz w:val="28"/>
          <w:szCs w:val="28"/>
        </w:rPr>
        <w:t>约定按时足额支付接待费用。</w:t>
      </w:r>
    </w:p>
    <w:p w14:paraId="2C03382D">
      <w:pPr>
        <w:keepNext w:val="0"/>
        <w:keepLines w:val="0"/>
        <w:pageBreakBefore w:val="0"/>
        <w:numPr>
          <w:ilvl w:val="0"/>
          <w:numId w:val="12"/>
        </w:numPr>
        <w:kinsoku/>
        <w:wordWrap/>
        <w:overflowPunct/>
        <w:topLinePunct w:val="0"/>
        <w:autoSpaceDE/>
        <w:autoSpaceDN/>
        <w:bidi w:val="0"/>
        <w:adjustRightInd w:val="0"/>
        <w:snapToGrid w:val="0"/>
        <w:spacing w:line="560" w:lineRule="exact"/>
        <w:ind w:left="480" w:hanging="560" w:hangingChars="200"/>
        <w:jc w:val="both"/>
        <w:rPr>
          <w:rFonts w:hint="eastAsia" w:ascii="仿宋" w:hAnsi="仿宋" w:eastAsia="仿宋" w:cs="仿宋"/>
          <w:sz w:val="28"/>
          <w:szCs w:val="28"/>
        </w:rPr>
      </w:pPr>
      <w:r>
        <w:rPr>
          <w:rFonts w:hint="eastAsia" w:ascii="仿宋" w:hAnsi="仿宋" w:eastAsia="仿宋" w:cs="仿宋"/>
          <w:sz w:val="28"/>
          <w:szCs w:val="28"/>
        </w:rPr>
        <w:t>乙方发票项目内容应在财务合规前提下须符合甲方财务要求。</w:t>
      </w:r>
    </w:p>
    <w:p w14:paraId="60A1D0B8">
      <w:pPr>
        <w:keepNext w:val="0"/>
        <w:keepLines w:val="0"/>
        <w:pageBreakBefore w:val="0"/>
        <w:numPr>
          <w:ilvl w:val="0"/>
          <w:numId w:val="7"/>
        </w:numPr>
        <w:kinsoku/>
        <w:wordWrap/>
        <w:overflowPunct/>
        <w:topLinePunct w:val="0"/>
        <w:autoSpaceDE/>
        <w:autoSpaceDN/>
        <w:bidi w:val="0"/>
        <w:adjustRightInd w:val="0"/>
        <w:snapToGrid w:val="0"/>
        <w:spacing w:line="560" w:lineRule="exact"/>
        <w:rPr>
          <w:rFonts w:hint="eastAsia" w:ascii="仿宋" w:hAnsi="仿宋" w:eastAsia="仿宋" w:cs="仿宋"/>
          <w:sz w:val="28"/>
          <w:szCs w:val="28"/>
        </w:rPr>
      </w:pPr>
      <w:r>
        <w:rPr>
          <w:rFonts w:hint="eastAsia" w:ascii="仿宋" w:hAnsi="仿宋" w:eastAsia="仿宋" w:cs="仿宋"/>
          <w:sz w:val="28"/>
          <w:szCs w:val="28"/>
        </w:rPr>
        <w:t>活动执行；</w:t>
      </w:r>
    </w:p>
    <w:p w14:paraId="056B2226">
      <w:pPr>
        <w:keepNext w:val="0"/>
        <w:keepLines w:val="0"/>
        <w:pageBreakBefore w:val="0"/>
        <w:numPr>
          <w:ilvl w:val="0"/>
          <w:numId w:val="13"/>
        </w:numPr>
        <w:kinsoku/>
        <w:wordWrap/>
        <w:overflowPunct/>
        <w:topLinePunct w:val="0"/>
        <w:autoSpaceDE/>
        <w:autoSpaceDN/>
        <w:bidi w:val="0"/>
        <w:adjustRightInd w:val="0"/>
        <w:snapToGrid w:val="0"/>
        <w:spacing w:line="560" w:lineRule="exact"/>
        <w:ind w:left="480" w:hanging="560" w:hangingChars="200"/>
        <w:rPr>
          <w:rFonts w:hint="eastAsia" w:ascii="仿宋" w:hAnsi="仿宋" w:eastAsia="仿宋" w:cs="仿宋"/>
          <w:sz w:val="28"/>
          <w:szCs w:val="28"/>
        </w:rPr>
      </w:pPr>
      <w:r>
        <w:rPr>
          <w:rFonts w:hint="eastAsia" w:ascii="仿宋" w:hAnsi="仿宋" w:eastAsia="仿宋" w:cs="仿宋"/>
          <w:sz w:val="28"/>
          <w:szCs w:val="28"/>
        </w:rPr>
        <w:t>乙方应严格按照双方约定及《</w:t>
      </w:r>
      <w:r>
        <w:rPr>
          <w:rFonts w:hint="eastAsia" w:ascii="仿宋" w:hAnsi="仿宋" w:eastAsia="仿宋" w:cs="仿宋"/>
          <w:sz w:val="28"/>
          <w:szCs w:val="28"/>
          <w:lang w:val="en-US" w:eastAsia="zh-CN"/>
        </w:rPr>
        <w:t>活动</w:t>
      </w:r>
      <w:r>
        <w:rPr>
          <w:rFonts w:hint="eastAsia" w:ascii="仿宋" w:hAnsi="仿宋" w:eastAsia="仿宋" w:cs="仿宋"/>
          <w:sz w:val="28"/>
          <w:szCs w:val="28"/>
        </w:rPr>
        <w:t>行程单》安排行程、景点、服务项目等，不得因与甲方团款等纠纷擅自中止旅游服务。</w:t>
      </w:r>
    </w:p>
    <w:p w14:paraId="0EAE70BB">
      <w:pPr>
        <w:keepNext w:val="0"/>
        <w:keepLines w:val="0"/>
        <w:pageBreakBefore w:val="0"/>
        <w:numPr>
          <w:ilvl w:val="0"/>
          <w:numId w:val="13"/>
        </w:numPr>
        <w:kinsoku/>
        <w:wordWrap/>
        <w:overflowPunct/>
        <w:topLinePunct w:val="0"/>
        <w:autoSpaceDE/>
        <w:autoSpaceDN/>
        <w:bidi w:val="0"/>
        <w:adjustRightInd w:val="0"/>
        <w:snapToGrid w:val="0"/>
        <w:spacing w:line="560" w:lineRule="exact"/>
        <w:ind w:left="480" w:hanging="560" w:hangingChars="200"/>
        <w:rPr>
          <w:rFonts w:hint="eastAsia" w:ascii="仿宋" w:hAnsi="仿宋" w:eastAsia="仿宋" w:cs="仿宋"/>
          <w:sz w:val="28"/>
          <w:szCs w:val="28"/>
        </w:rPr>
      </w:pPr>
      <w:r>
        <w:rPr>
          <w:rFonts w:hint="eastAsia" w:ascii="仿宋" w:hAnsi="仿宋" w:eastAsia="仿宋" w:cs="仿宋"/>
          <w:sz w:val="28"/>
          <w:szCs w:val="28"/>
        </w:rPr>
        <w:t>未经甲方书面同意，乙方不得以任何方式将甲方</w:t>
      </w:r>
      <w:r>
        <w:rPr>
          <w:rFonts w:hint="eastAsia" w:ascii="仿宋" w:hAnsi="仿宋" w:eastAsia="仿宋" w:cs="仿宋"/>
          <w:sz w:val="28"/>
          <w:szCs w:val="28"/>
          <w:lang w:val="en-US" w:eastAsia="zh-CN"/>
        </w:rPr>
        <w:t>研修团</w:t>
      </w:r>
      <w:r>
        <w:rPr>
          <w:rFonts w:hint="eastAsia" w:ascii="仿宋" w:hAnsi="仿宋" w:eastAsia="仿宋" w:cs="仿宋"/>
          <w:sz w:val="28"/>
          <w:szCs w:val="28"/>
        </w:rPr>
        <w:t>与其他</w:t>
      </w:r>
      <w:r>
        <w:rPr>
          <w:rFonts w:hint="eastAsia" w:ascii="仿宋" w:hAnsi="仿宋" w:eastAsia="仿宋" w:cs="仿宋"/>
          <w:sz w:val="28"/>
          <w:szCs w:val="28"/>
          <w:lang w:val="en-US" w:eastAsia="zh-CN"/>
        </w:rPr>
        <w:t>研修</w:t>
      </w:r>
      <w:r>
        <w:rPr>
          <w:rFonts w:hint="eastAsia" w:ascii="仿宋" w:hAnsi="仿宋" w:eastAsia="仿宋" w:cs="仿宋"/>
          <w:sz w:val="28"/>
          <w:szCs w:val="28"/>
        </w:rPr>
        <w:t>团合并接待，或者转交任何第三方接待。</w:t>
      </w:r>
    </w:p>
    <w:p w14:paraId="7B34937B">
      <w:pPr>
        <w:keepNext w:val="0"/>
        <w:keepLines w:val="0"/>
        <w:pageBreakBefore w:val="0"/>
        <w:numPr>
          <w:ilvl w:val="0"/>
          <w:numId w:val="13"/>
        </w:numPr>
        <w:kinsoku/>
        <w:wordWrap/>
        <w:overflowPunct/>
        <w:topLinePunct w:val="0"/>
        <w:autoSpaceDE/>
        <w:autoSpaceDN/>
        <w:bidi w:val="0"/>
        <w:adjustRightInd w:val="0"/>
        <w:snapToGrid w:val="0"/>
        <w:spacing w:line="560" w:lineRule="exact"/>
        <w:ind w:left="480" w:hanging="560" w:hangingChars="200"/>
        <w:rPr>
          <w:rFonts w:hint="eastAsia" w:ascii="仿宋" w:hAnsi="仿宋" w:eastAsia="仿宋" w:cs="仿宋"/>
          <w:sz w:val="28"/>
          <w:szCs w:val="28"/>
        </w:rPr>
      </w:pPr>
      <w:r>
        <w:rPr>
          <w:rFonts w:hint="eastAsia" w:ascii="仿宋" w:hAnsi="仿宋" w:eastAsia="仿宋" w:cs="仿宋"/>
          <w:sz w:val="28"/>
          <w:szCs w:val="28"/>
        </w:rPr>
        <w:t>乙方所选择</w:t>
      </w:r>
      <w:r>
        <w:rPr>
          <w:rFonts w:hint="eastAsia" w:ascii="仿宋" w:hAnsi="仿宋" w:eastAsia="仿宋" w:cs="仿宋"/>
          <w:sz w:val="28"/>
          <w:szCs w:val="28"/>
          <w:lang w:val="en-US" w:eastAsia="zh-CN"/>
        </w:rPr>
        <w:t>指导</w:t>
      </w:r>
      <w:r>
        <w:rPr>
          <w:rFonts w:hint="eastAsia" w:ascii="仿宋" w:hAnsi="仿宋" w:eastAsia="仿宋" w:cs="仿宋"/>
          <w:sz w:val="28"/>
          <w:szCs w:val="28"/>
        </w:rPr>
        <w:t>导师、大巴车司机等均应</w:t>
      </w:r>
      <w:r>
        <w:rPr>
          <w:rFonts w:hint="eastAsia" w:ascii="仿宋" w:hAnsi="仿宋" w:eastAsia="仿宋" w:cs="仿宋"/>
          <w:sz w:val="28"/>
          <w:szCs w:val="28"/>
          <w:lang w:val="en-US" w:eastAsia="zh-CN"/>
        </w:rPr>
        <w:t>具备相关资质，并</w:t>
      </w:r>
      <w:r>
        <w:rPr>
          <w:rFonts w:hint="eastAsia" w:ascii="仿宋" w:hAnsi="仿宋" w:eastAsia="仿宋" w:cs="仿宋"/>
          <w:sz w:val="28"/>
          <w:szCs w:val="28"/>
        </w:rPr>
        <w:t>符合甲方《国内</w:t>
      </w:r>
      <w:r>
        <w:rPr>
          <w:rFonts w:hint="eastAsia" w:ascii="仿宋" w:hAnsi="仿宋" w:eastAsia="仿宋" w:cs="仿宋"/>
          <w:sz w:val="28"/>
          <w:szCs w:val="28"/>
          <w:lang w:eastAsia="zh-CN"/>
        </w:rPr>
        <w:t>研修</w:t>
      </w:r>
      <w:r>
        <w:rPr>
          <w:rFonts w:hint="eastAsia" w:ascii="仿宋" w:hAnsi="仿宋" w:eastAsia="仿宋" w:cs="仿宋"/>
          <w:sz w:val="28"/>
          <w:szCs w:val="28"/>
        </w:rPr>
        <w:t>项目供应商管理办法》</w:t>
      </w:r>
      <w:r>
        <w:rPr>
          <w:rFonts w:hint="eastAsia" w:ascii="仿宋" w:hAnsi="仿宋" w:eastAsia="仿宋" w:cs="仿宋"/>
          <w:sz w:val="28"/>
          <w:szCs w:val="28"/>
          <w:lang w:val="en-US" w:eastAsia="zh-CN"/>
        </w:rPr>
        <w:t>或国家、行业标准规范（以前述标准中较严格者为准）</w:t>
      </w:r>
      <w:r>
        <w:rPr>
          <w:rFonts w:hint="eastAsia" w:ascii="仿宋" w:hAnsi="仿宋" w:eastAsia="仿宋" w:cs="仿宋"/>
          <w:sz w:val="28"/>
          <w:szCs w:val="28"/>
        </w:rPr>
        <w:t>之规定，选择具有相应经营资质和接待能力的</w:t>
      </w:r>
      <w:r>
        <w:rPr>
          <w:rFonts w:hint="eastAsia" w:ascii="仿宋" w:hAnsi="仿宋" w:eastAsia="仿宋" w:cs="仿宋"/>
          <w:sz w:val="28"/>
          <w:szCs w:val="28"/>
          <w:lang w:val="en-US" w:eastAsia="zh-CN"/>
        </w:rPr>
        <w:t>前述人员、单位</w:t>
      </w:r>
      <w:r>
        <w:rPr>
          <w:rFonts w:hint="eastAsia" w:ascii="仿宋" w:hAnsi="仿宋" w:eastAsia="仿宋" w:cs="仿宋"/>
          <w:sz w:val="28"/>
          <w:szCs w:val="28"/>
        </w:rPr>
        <w:t>。</w:t>
      </w:r>
    </w:p>
    <w:p w14:paraId="1D702FD4">
      <w:pPr>
        <w:keepNext w:val="0"/>
        <w:keepLines w:val="0"/>
        <w:pageBreakBefore w:val="0"/>
        <w:numPr>
          <w:ilvl w:val="0"/>
          <w:numId w:val="13"/>
        </w:numPr>
        <w:kinsoku/>
        <w:wordWrap/>
        <w:overflowPunct/>
        <w:topLinePunct w:val="0"/>
        <w:autoSpaceDE/>
        <w:autoSpaceDN/>
        <w:bidi w:val="0"/>
        <w:adjustRightInd w:val="0"/>
        <w:snapToGrid w:val="0"/>
        <w:spacing w:line="560" w:lineRule="exact"/>
        <w:ind w:left="480" w:hanging="560" w:hangingChars="200"/>
        <w:rPr>
          <w:rFonts w:hint="eastAsia" w:ascii="仿宋" w:hAnsi="仿宋" w:eastAsia="仿宋" w:cs="仿宋"/>
          <w:sz w:val="28"/>
          <w:szCs w:val="28"/>
        </w:rPr>
      </w:pPr>
      <w:r>
        <w:rPr>
          <w:rFonts w:hint="eastAsia" w:ascii="仿宋" w:hAnsi="仿宋" w:eastAsia="仿宋" w:cs="仿宋"/>
          <w:sz w:val="28"/>
          <w:szCs w:val="28"/>
          <w:lang w:eastAsia="zh-CN"/>
        </w:rPr>
        <w:t>研修</w:t>
      </w:r>
      <w:r>
        <w:rPr>
          <w:rFonts w:hint="eastAsia" w:ascii="仿宋" w:hAnsi="仿宋" w:eastAsia="仿宋" w:cs="仿宋"/>
          <w:sz w:val="28"/>
          <w:szCs w:val="28"/>
          <w:lang w:val="en-US" w:eastAsia="zh-CN"/>
        </w:rPr>
        <w:t>团</w:t>
      </w:r>
      <w:r>
        <w:rPr>
          <w:rFonts w:hint="eastAsia" w:ascii="仿宋" w:hAnsi="仿宋" w:eastAsia="仿宋" w:cs="仿宋"/>
          <w:sz w:val="28"/>
          <w:szCs w:val="28"/>
        </w:rPr>
        <w:t>出现任何质量、安全、服务标准不符等相关问题，乙方</w:t>
      </w:r>
      <w:r>
        <w:rPr>
          <w:rFonts w:hint="eastAsia" w:ascii="仿宋" w:hAnsi="仿宋" w:eastAsia="仿宋" w:cs="仿宋"/>
          <w:sz w:val="28"/>
          <w:szCs w:val="28"/>
          <w:lang w:val="en-US" w:eastAsia="zh-CN"/>
        </w:rPr>
        <w:t>应与前述人员、单位承担连带责任，</w:t>
      </w:r>
      <w:r>
        <w:rPr>
          <w:rFonts w:hint="eastAsia" w:ascii="仿宋" w:hAnsi="仿宋" w:eastAsia="仿宋" w:cs="仿宋"/>
          <w:sz w:val="28"/>
          <w:szCs w:val="28"/>
        </w:rPr>
        <w:t>不得以任何理由推诿给因为包含上述且不限于上述服务单位</w:t>
      </w:r>
      <w:r>
        <w:rPr>
          <w:rFonts w:hint="eastAsia" w:ascii="仿宋" w:hAnsi="仿宋" w:eastAsia="仿宋" w:cs="仿宋"/>
          <w:sz w:val="28"/>
          <w:szCs w:val="28"/>
          <w:lang w:val="en-US" w:eastAsia="zh-CN"/>
        </w:rPr>
        <w:t>及人员</w:t>
      </w:r>
      <w:r>
        <w:rPr>
          <w:rFonts w:hint="eastAsia" w:ascii="仿宋" w:hAnsi="仿宋" w:eastAsia="仿宋" w:cs="仿宋"/>
          <w:sz w:val="28"/>
          <w:szCs w:val="28"/>
        </w:rPr>
        <w:t>。</w:t>
      </w:r>
    </w:p>
    <w:p w14:paraId="63F5BD4D">
      <w:pPr>
        <w:keepNext w:val="0"/>
        <w:keepLines w:val="0"/>
        <w:pageBreakBefore w:val="0"/>
        <w:numPr>
          <w:ilvl w:val="0"/>
          <w:numId w:val="13"/>
        </w:numPr>
        <w:kinsoku/>
        <w:wordWrap/>
        <w:overflowPunct/>
        <w:topLinePunct w:val="0"/>
        <w:autoSpaceDE/>
        <w:autoSpaceDN/>
        <w:bidi w:val="0"/>
        <w:adjustRightInd w:val="0"/>
        <w:snapToGrid w:val="0"/>
        <w:spacing w:line="560" w:lineRule="exact"/>
        <w:ind w:left="480" w:hanging="560" w:hangingChars="200"/>
        <w:rPr>
          <w:rFonts w:hint="eastAsia" w:ascii="仿宋" w:hAnsi="仿宋" w:eastAsia="仿宋" w:cs="仿宋"/>
          <w:sz w:val="28"/>
          <w:szCs w:val="28"/>
        </w:rPr>
      </w:pPr>
      <w:r>
        <w:rPr>
          <w:rFonts w:hint="eastAsia" w:ascii="仿宋" w:hAnsi="仿宋" w:eastAsia="仿宋" w:cs="仿宋"/>
          <w:sz w:val="28"/>
          <w:szCs w:val="28"/>
        </w:rPr>
        <w:t>乙方应积极配合甲方做好接待服务质量测评工作，按约定通报团队动态和反馈接待服务质量信息，服务质量测评方式及达标标准以甲方《国内</w:t>
      </w:r>
      <w:r>
        <w:rPr>
          <w:rFonts w:hint="eastAsia" w:ascii="仿宋" w:hAnsi="仿宋" w:eastAsia="仿宋" w:cs="仿宋"/>
          <w:sz w:val="28"/>
          <w:szCs w:val="28"/>
          <w:lang w:eastAsia="zh-CN"/>
        </w:rPr>
        <w:t>研修</w:t>
      </w:r>
      <w:r>
        <w:rPr>
          <w:rFonts w:hint="eastAsia" w:ascii="仿宋" w:hAnsi="仿宋" w:eastAsia="仿宋" w:cs="仿宋"/>
          <w:sz w:val="28"/>
          <w:szCs w:val="28"/>
        </w:rPr>
        <w:t>项目供应商管理办法》</w:t>
      </w:r>
      <w:r>
        <w:rPr>
          <w:rFonts w:hint="eastAsia" w:ascii="仿宋" w:hAnsi="仿宋" w:eastAsia="仿宋" w:cs="仿宋"/>
          <w:sz w:val="28"/>
          <w:szCs w:val="28"/>
          <w:lang w:val="en-US" w:eastAsia="zh-CN"/>
        </w:rPr>
        <w:t>或国家、行业标准规范（以前述标准中较严格者</w:t>
      </w:r>
      <w:r>
        <w:rPr>
          <w:rFonts w:hint="eastAsia" w:ascii="仿宋" w:hAnsi="仿宋" w:eastAsia="仿宋" w:cs="仿宋"/>
          <w:sz w:val="28"/>
          <w:szCs w:val="28"/>
        </w:rPr>
        <w:t>为准</w:t>
      </w:r>
      <w:r>
        <w:rPr>
          <w:rFonts w:hint="eastAsia" w:ascii="仿宋" w:hAnsi="仿宋" w:eastAsia="仿宋" w:cs="仿宋"/>
          <w:sz w:val="28"/>
          <w:szCs w:val="28"/>
          <w:lang w:val="en-US" w:eastAsia="zh-CN"/>
        </w:rPr>
        <w:t>）</w:t>
      </w:r>
      <w:r>
        <w:rPr>
          <w:rFonts w:hint="eastAsia" w:ascii="仿宋" w:hAnsi="仿宋" w:eastAsia="仿宋" w:cs="仿宋"/>
          <w:sz w:val="28"/>
          <w:szCs w:val="28"/>
        </w:rPr>
        <w:t>。</w:t>
      </w:r>
    </w:p>
    <w:p w14:paraId="01DBE5B2">
      <w:pPr>
        <w:keepNext w:val="0"/>
        <w:keepLines w:val="0"/>
        <w:pageBreakBefore w:val="0"/>
        <w:numPr>
          <w:ilvl w:val="0"/>
          <w:numId w:val="13"/>
        </w:numPr>
        <w:kinsoku/>
        <w:wordWrap/>
        <w:overflowPunct/>
        <w:topLinePunct w:val="0"/>
        <w:autoSpaceDE/>
        <w:autoSpaceDN/>
        <w:bidi w:val="0"/>
        <w:adjustRightInd w:val="0"/>
        <w:snapToGrid w:val="0"/>
        <w:spacing w:line="560" w:lineRule="exact"/>
        <w:ind w:left="480" w:hanging="560" w:hangingChars="200"/>
        <w:jc w:val="both"/>
        <w:rPr>
          <w:rFonts w:hint="eastAsia" w:ascii="仿宋" w:hAnsi="仿宋" w:eastAsia="仿宋" w:cs="仿宋"/>
          <w:sz w:val="28"/>
          <w:szCs w:val="28"/>
        </w:rPr>
      </w:pPr>
      <w:r>
        <w:rPr>
          <w:rFonts w:hint="eastAsia" w:ascii="仿宋" w:hAnsi="仿宋" w:eastAsia="仿宋" w:cs="仿宋"/>
          <w:sz w:val="28"/>
          <w:szCs w:val="28"/>
        </w:rPr>
        <w:t>乙方需明确乙方</w:t>
      </w:r>
      <w:r>
        <w:rPr>
          <w:rFonts w:hint="eastAsia" w:ascii="仿宋" w:hAnsi="仿宋" w:eastAsia="仿宋" w:cs="仿宋"/>
          <w:sz w:val="28"/>
          <w:szCs w:val="28"/>
          <w:lang w:val="en-US" w:eastAsia="zh-CN"/>
        </w:rPr>
        <w:t>指导导师</w:t>
      </w:r>
      <w:r>
        <w:rPr>
          <w:rFonts w:hint="eastAsia" w:ascii="仿宋" w:hAnsi="仿宋" w:eastAsia="仿宋" w:cs="仿宋"/>
          <w:sz w:val="28"/>
          <w:szCs w:val="28"/>
        </w:rPr>
        <w:t>的相关职责，避免因为乙方内部沟通不畅所导致的服务瑕疵及事故。</w:t>
      </w:r>
    </w:p>
    <w:p w14:paraId="45D47928">
      <w:pPr>
        <w:keepNext w:val="0"/>
        <w:keepLines w:val="0"/>
        <w:pageBreakBefore w:val="0"/>
        <w:numPr>
          <w:ilvl w:val="0"/>
          <w:numId w:val="7"/>
        </w:numPr>
        <w:kinsoku/>
        <w:wordWrap/>
        <w:overflowPunct/>
        <w:topLinePunct w:val="0"/>
        <w:autoSpaceDE/>
        <w:autoSpaceDN/>
        <w:bidi w:val="0"/>
        <w:adjustRightInd w:val="0"/>
        <w:snapToGrid w:val="0"/>
        <w:spacing w:line="560" w:lineRule="exact"/>
        <w:rPr>
          <w:rFonts w:hint="eastAsia" w:ascii="仿宋" w:hAnsi="仿宋" w:eastAsia="仿宋" w:cs="仿宋"/>
          <w:sz w:val="28"/>
          <w:szCs w:val="28"/>
        </w:rPr>
      </w:pPr>
      <w:r>
        <w:rPr>
          <w:rFonts w:hint="eastAsia" w:ascii="仿宋" w:hAnsi="仿宋" w:eastAsia="仿宋" w:cs="仿宋"/>
          <w:sz w:val="28"/>
          <w:szCs w:val="28"/>
        </w:rPr>
        <w:t>风险防范</w:t>
      </w:r>
    </w:p>
    <w:p w14:paraId="7574EC7F">
      <w:pPr>
        <w:keepNext w:val="0"/>
        <w:keepLines w:val="0"/>
        <w:pageBreakBefore w:val="0"/>
        <w:numPr>
          <w:ilvl w:val="0"/>
          <w:numId w:val="14"/>
        </w:numPr>
        <w:kinsoku/>
        <w:wordWrap/>
        <w:overflowPunct/>
        <w:topLinePunct w:val="0"/>
        <w:autoSpaceDE/>
        <w:autoSpaceDN/>
        <w:bidi w:val="0"/>
        <w:adjustRightInd w:val="0"/>
        <w:snapToGrid w:val="0"/>
        <w:spacing w:line="560" w:lineRule="exact"/>
        <w:ind w:left="480" w:hanging="560" w:hangingChars="200"/>
        <w:rPr>
          <w:rFonts w:hint="eastAsia" w:ascii="仿宋" w:hAnsi="仿宋" w:eastAsia="仿宋" w:cs="仿宋"/>
          <w:sz w:val="28"/>
          <w:szCs w:val="28"/>
        </w:rPr>
      </w:pPr>
      <w:r>
        <w:rPr>
          <w:rFonts w:hint="eastAsia" w:ascii="仿宋" w:hAnsi="仿宋" w:eastAsia="仿宋" w:cs="仿宋"/>
          <w:sz w:val="28"/>
          <w:szCs w:val="28"/>
        </w:rPr>
        <w:t>乙方应按法律法规规定投保旅行社责任保险。</w:t>
      </w:r>
    </w:p>
    <w:p w14:paraId="47410EB5">
      <w:pPr>
        <w:keepNext w:val="0"/>
        <w:keepLines w:val="0"/>
        <w:pageBreakBefore w:val="0"/>
        <w:numPr>
          <w:ilvl w:val="0"/>
          <w:numId w:val="14"/>
        </w:numPr>
        <w:kinsoku/>
        <w:wordWrap/>
        <w:overflowPunct/>
        <w:topLinePunct w:val="0"/>
        <w:autoSpaceDE/>
        <w:autoSpaceDN/>
        <w:bidi w:val="0"/>
        <w:adjustRightInd w:val="0"/>
        <w:snapToGrid w:val="0"/>
        <w:spacing w:line="560" w:lineRule="exact"/>
        <w:ind w:left="480" w:hanging="560" w:hangingChars="200"/>
        <w:rPr>
          <w:rFonts w:hint="eastAsia" w:ascii="仿宋" w:hAnsi="仿宋" w:eastAsia="仿宋" w:cs="仿宋"/>
          <w:sz w:val="28"/>
          <w:szCs w:val="28"/>
        </w:rPr>
      </w:pPr>
      <w:r>
        <w:rPr>
          <w:rFonts w:hint="eastAsia" w:ascii="仿宋" w:hAnsi="仿宋" w:eastAsia="仿宋" w:cs="仿宋"/>
          <w:sz w:val="28"/>
          <w:szCs w:val="28"/>
        </w:rPr>
        <w:t>乙方应为甲方</w:t>
      </w:r>
      <w:r>
        <w:rPr>
          <w:rFonts w:hint="eastAsia" w:ascii="仿宋" w:hAnsi="仿宋" w:eastAsia="仿宋" w:cs="仿宋"/>
          <w:sz w:val="28"/>
          <w:szCs w:val="28"/>
          <w:lang w:val="en-US" w:eastAsia="zh-CN"/>
        </w:rPr>
        <w:t>研修团</w:t>
      </w:r>
      <w:r>
        <w:rPr>
          <w:rFonts w:hint="eastAsia" w:ascii="仿宋" w:hAnsi="仿宋" w:eastAsia="仿宋" w:cs="仿宋"/>
          <w:sz w:val="28"/>
          <w:szCs w:val="28"/>
        </w:rPr>
        <w:t>全体人员购买人身意外伤害保险，费用由乙方承担，保额不低于人民币30万元/每人；投保方案由双方确认并作为本协议附件，保险理赔以保险条款约定为准。</w:t>
      </w:r>
    </w:p>
    <w:p w14:paraId="178EBB8A">
      <w:pPr>
        <w:keepNext w:val="0"/>
        <w:keepLines w:val="0"/>
        <w:pageBreakBefore w:val="0"/>
        <w:numPr>
          <w:ilvl w:val="0"/>
          <w:numId w:val="14"/>
        </w:numPr>
        <w:kinsoku/>
        <w:wordWrap/>
        <w:overflowPunct/>
        <w:topLinePunct w:val="0"/>
        <w:autoSpaceDE/>
        <w:autoSpaceDN/>
        <w:bidi w:val="0"/>
        <w:adjustRightInd w:val="0"/>
        <w:snapToGrid w:val="0"/>
        <w:spacing w:line="560" w:lineRule="exact"/>
        <w:ind w:left="480" w:hanging="560" w:hangingChars="200"/>
        <w:rPr>
          <w:rFonts w:hint="eastAsia" w:ascii="仿宋" w:hAnsi="仿宋" w:eastAsia="仿宋" w:cs="仿宋"/>
          <w:sz w:val="28"/>
          <w:szCs w:val="28"/>
        </w:rPr>
      </w:pPr>
      <w:r>
        <w:rPr>
          <w:rFonts w:hint="eastAsia" w:ascii="仿宋" w:hAnsi="仿宋" w:eastAsia="仿宋" w:cs="仿宋"/>
          <w:sz w:val="28"/>
          <w:szCs w:val="28"/>
        </w:rPr>
        <w:t>乙方为甲方组织的旅游者安排的车辆及司机必须具备合法有效资质，符合甲方《国内</w:t>
      </w:r>
      <w:r>
        <w:rPr>
          <w:rFonts w:hint="eastAsia" w:ascii="仿宋" w:hAnsi="仿宋" w:eastAsia="仿宋" w:cs="仿宋"/>
          <w:sz w:val="28"/>
          <w:szCs w:val="28"/>
          <w:lang w:eastAsia="zh-CN"/>
        </w:rPr>
        <w:t>研修</w:t>
      </w:r>
      <w:r>
        <w:rPr>
          <w:rFonts w:hint="eastAsia" w:ascii="仿宋" w:hAnsi="仿宋" w:eastAsia="仿宋" w:cs="仿宋"/>
          <w:sz w:val="28"/>
          <w:szCs w:val="28"/>
          <w:lang w:val="en-US" w:eastAsia="zh-CN"/>
        </w:rPr>
        <w:t>项目</w:t>
      </w:r>
      <w:r>
        <w:rPr>
          <w:rFonts w:hint="eastAsia" w:ascii="仿宋" w:hAnsi="仿宋" w:eastAsia="仿宋" w:cs="仿宋"/>
          <w:sz w:val="28"/>
          <w:szCs w:val="28"/>
        </w:rPr>
        <w:t>供应商管理办法》</w:t>
      </w:r>
      <w:r>
        <w:rPr>
          <w:rFonts w:hint="eastAsia" w:ascii="仿宋" w:hAnsi="仿宋" w:eastAsia="仿宋" w:cs="仿宋"/>
          <w:sz w:val="28"/>
          <w:szCs w:val="28"/>
          <w:lang w:val="en-US" w:eastAsia="zh-CN"/>
        </w:rPr>
        <w:t>或国家、行业标准规范（以前述标准中较严格者</w:t>
      </w:r>
      <w:r>
        <w:rPr>
          <w:rFonts w:hint="eastAsia" w:ascii="仿宋" w:hAnsi="仿宋" w:eastAsia="仿宋" w:cs="仿宋"/>
          <w:sz w:val="28"/>
          <w:szCs w:val="28"/>
        </w:rPr>
        <w:t>为准</w:t>
      </w:r>
      <w:r>
        <w:rPr>
          <w:rFonts w:hint="eastAsia" w:ascii="仿宋" w:hAnsi="仿宋" w:eastAsia="仿宋" w:cs="仿宋"/>
          <w:sz w:val="28"/>
          <w:szCs w:val="28"/>
          <w:lang w:val="en-US" w:eastAsia="zh-CN"/>
        </w:rPr>
        <w:t>）</w:t>
      </w:r>
      <w:r>
        <w:rPr>
          <w:rFonts w:hint="eastAsia" w:ascii="仿宋" w:hAnsi="仿宋" w:eastAsia="仿宋" w:cs="仿宋"/>
          <w:sz w:val="28"/>
          <w:szCs w:val="28"/>
        </w:rPr>
        <w:t>相关要求，乙方选择的客运经营者应已购买承运人责任保险，且保险金额不低于30万元/每座。</w:t>
      </w:r>
    </w:p>
    <w:p w14:paraId="335CE49D">
      <w:pPr>
        <w:keepNext w:val="0"/>
        <w:keepLines w:val="0"/>
        <w:pageBreakBefore w:val="0"/>
        <w:numPr>
          <w:ilvl w:val="0"/>
          <w:numId w:val="14"/>
        </w:numPr>
        <w:kinsoku/>
        <w:wordWrap/>
        <w:overflowPunct/>
        <w:topLinePunct w:val="0"/>
        <w:autoSpaceDE/>
        <w:autoSpaceDN/>
        <w:bidi w:val="0"/>
        <w:adjustRightInd w:val="0"/>
        <w:snapToGrid w:val="0"/>
        <w:spacing w:line="560" w:lineRule="exact"/>
        <w:ind w:left="480" w:hanging="560" w:hangingChars="200"/>
        <w:rPr>
          <w:rFonts w:hint="eastAsia" w:ascii="仿宋" w:hAnsi="仿宋" w:eastAsia="仿宋" w:cs="仿宋"/>
          <w:sz w:val="28"/>
          <w:szCs w:val="28"/>
        </w:rPr>
      </w:pPr>
      <w:r>
        <w:rPr>
          <w:rFonts w:hint="eastAsia" w:ascii="仿宋" w:hAnsi="仿宋" w:eastAsia="仿宋" w:cs="仿宋"/>
          <w:sz w:val="28"/>
          <w:szCs w:val="28"/>
        </w:rPr>
        <w:t>乙方在</w:t>
      </w:r>
      <w:r>
        <w:rPr>
          <w:rFonts w:hint="eastAsia" w:ascii="仿宋" w:hAnsi="仿宋" w:eastAsia="仿宋" w:cs="仿宋"/>
          <w:sz w:val="28"/>
          <w:szCs w:val="28"/>
          <w:lang w:val="en-US" w:eastAsia="zh-CN"/>
        </w:rPr>
        <w:t>研修团</w:t>
      </w:r>
      <w:r>
        <w:rPr>
          <w:rFonts w:hint="eastAsia" w:ascii="仿宋" w:hAnsi="仿宋" w:eastAsia="仿宋" w:cs="仿宋"/>
          <w:sz w:val="28"/>
          <w:szCs w:val="28"/>
        </w:rPr>
        <w:t>过程中应尽量保证</w:t>
      </w:r>
      <w:r>
        <w:rPr>
          <w:rFonts w:hint="eastAsia" w:ascii="仿宋" w:hAnsi="仿宋" w:eastAsia="仿宋" w:cs="仿宋"/>
          <w:sz w:val="28"/>
          <w:szCs w:val="28"/>
          <w:lang w:val="en-US" w:eastAsia="zh-CN"/>
        </w:rPr>
        <w:t>研修团</w:t>
      </w:r>
      <w:r>
        <w:rPr>
          <w:rFonts w:hint="eastAsia" w:ascii="仿宋" w:hAnsi="仿宋" w:eastAsia="仿宋" w:cs="仿宋"/>
          <w:sz w:val="28"/>
          <w:szCs w:val="28"/>
        </w:rPr>
        <w:t>团队师生的安全，对于可能危及到人身及财产安全的事项，应做出真实的说明和明确的警示，并采取必要措施防止危害发生和扩大。</w:t>
      </w:r>
    </w:p>
    <w:p w14:paraId="74EB18E2">
      <w:pPr>
        <w:keepNext w:val="0"/>
        <w:keepLines w:val="0"/>
        <w:pageBreakBefore w:val="0"/>
        <w:numPr>
          <w:ilvl w:val="0"/>
          <w:numId w:val="14"/>
        </w:numPr>
        <w:kinsoku/>
        <w:wordWrap/>
        <w:overflowPunct/>
        <w:topLinePunct w:val="0"/>
        <w:autoSpaceDE/>
        <w:autoSpaceDN/>
        <w:bidi w:val="0"/>
        <w:adjustRightInd w:val="0"/>
        <w:snapToGrid w:val="0"/>
        <w:spacing w:line="560" w:lineRule="exact"/>
        <w:ind w:left="480" w:hanging="560" w:hangingChars="200"/>
        <w:rPr>
          <w:rFonts w:hint="eastAsia" w:ascii="仿宋" w:hAnsi="仿宋" w:eastAsia="仿宋" w:cs="仿宋"/>
          <w:sz w:val="28"/>
          <w:szCs w:val="28"/>
        </w:rPr>
      </w:pPr>
      <w:r>
        <w:rPr>
          <w:rFonts w:hint="eastAsia" w:ascii="仿宋" w:hAnsi="仿宋" w:eastAsia="仿宋" w:cs="仿宋"/>
          <w:sz w:val="28"/>
          <w:szCs w:val="28"/>
        </w:rPr>
        <w:t>乙方接待过程中，甲方</w:t>
      </w:r>
      <w:r>
        <w:rPr>
          <w:rFonts w:hint="eastAsia" w:ascii="仿宋" w:hAnsi="仿宋" w:eastAsia="仿宋" w:cs="仿宋"/>
          <w:sz w:val="28"/>
          <w:szCs w:val="28"/>
          <w:lang w:val="en-US" w:eastAsia="zh-CN"/>
        </w:rPr>
        <w:t>研修</w:t>
      </w:r>
      <w:r>
        <w:rPr>
          <w:rFonts w:hint="eastAsia" w:ascii="仿宋" w:hAnsi="仿宋" w:eastAsia="仿宋" w:cs="仿宋"/>
          <w:sz w:val="28"/>
          <w:szCs w:val="28"/>
        </w:rPr>
        <w:t>团队师生受到人身、财产损害的，乙方应采取救助措施并先行垫付必要费用，及时向甲方反馈信息，收集和保存相关证据</w:t>
      </w:r>
      <w:r>
        <w:rPr>
          <w:rFonts w:hint="eastAsia" w:ascii="仿宋" w:hAnsi="仿宋" w:eastAsia="仿宋" w:cs="仿宋"/>
          <w:sz w:val="28"/>
          <w:szCs w:val="28"/>
          <w:lang w:eastAsia="zh-CN"/>
        </w:rPr>
        <w:t>。</w:t>
      </w:r>
      <w:r>
        <w:rPr>
          <w:rFonts w:hint="eastAsia" w:ascii="仿宋" w:hAnsi="仿宋" w:eastAsia="仿宋" w:cs="仿宋"/>
          <w:sz w:val="28"/>
          <w:szCs w:val="28"/>
        </w:rPr>
        <w:t>根据国家相关部门裁</w:t>
      </w:r>
      <w:r>
        <w:rPr>
          <w:rFonts w:hint="eastAsia" w:ascii="仿宋" w:hAnsi="仿宋" w:eastAsia="仿宋" w:cs="仿宋"/>
          <w:sz w:val="28"/>
          <w:szCs w:val="28"/>
          <w:lang w:val="en-US" w:eastAsia="zh-CN"/>
        </w:rPr>
        <w:t>决判</w:t>
      </w:r>
      <w:r>
        <w:rPr>
          <w:rFonts w:hint="eastAsia" w:ascii="仿宋" w:hAnsi="仿宋" w:eastAsia="仿宋" w:cs="仿宋"/>
          <w:sz w:val="28"/>
          <w:szCs w:val="28"/>
        </w:rPr>
        <w:t>定，甲方和乙方在责任划分明确后3日内根据各自承担的责任进行结算</w:t>
      </w:r>
      <w:r>
        <w:rPr>
          <w:rFonts w:hint="eastAsia" w:ascii="仿宋" w:hAnsi="仿宋" w:eastAsia="仿宋" w:cs="仿宋"/>
          <w:sz w:val="28"/>
          <w:szCs w:val="28"/>
          <w:lang w:eastAsia="zh-CN"/>
        </w:rPr>
        <w:t>。</w:t>
      </w:r>
      <w:r>
        <w:rPr>
          <w:rFonts w:hint="eastAsia" w:ascii="仿宋" w:hAnsi="仿宋" w:eastAsia="仿宋" w:cs="仿宋"/>
          <w:sz w:val="28"/>
          <w:szCs w:val="28"/>
        </w:rPr>
        <w:t>属于第三方责任的，乙方应协助甲方索赔。</w:t>
      </w:r>
    </w:p>
    <w:p w14:paraId="60EA6140">
      <w:pPr>
        <w:keepNext w:val="0"/>
        <w:keepLines w:val="0"/>
        <w:pageBreakBefore w:val="0"/>
        <w:numPr>
          <w:ilvl w:val="0"/>
          <w:numId w:val="7"/>
        </w:numPr>
        <w:kinsoku/>
        <w:wordWrap/>
        <w:overflowPunct/>
        <w:topLinePunct w:val="0"/>
        <w:autoSpaceDE/>
        <w:autoSpaceDN/>
        <w:bidi w:val="0"/>
        <w:adjustRightInd w:val="0"/>
        <w:snapToGrid w:val="0"/>
        <w:spacing w:line="560" w:lineRule="exact"/>
        <w:rPr>
          <w:rFonts w:hint="eastAsia" w:ascii="仿宋" w:hAnsi="仿宋" w:eastAsia="仿宋" w:cs="仿宋"/>
          <w:sz w:val="28"/>
          <w:szCs w:val="28"/>
        </w:rPr>
      </w:pPr>
      <w:r>
        <w:rPr>
          <w:rFonts w:hint="eastAsia" w:ascii="仿宋" w:hAnsi="仿宋" w:eastAsia="仿宋" w:cs="仿宋"/>
          <w:sz w:val="28"/>
          <w:szCs w:val="28"/>
        </w:rPr>
        <w:t>纠纷处理</w:t>
      </w:r>
    </w:p>
    <w:p w14:paraId="0E6F78ED">
      <w:pPr>
        <w:keepNext w:val="0"/>
        <w:keepLines w:val="0"/>
        <w:pageBreakBefore w:val="0"/>
        <w:numPr>
          <w:ilvl w:val="0"/>
          <w:numId w:val="15"/>
        </w:numPr>
        <w:kinsoku/>
        <w:wordWrap/>
        <w:overflowPunct/>
        <w:topLinePunct w:val="0"/>
        <w:autoSpaceDE/>
        <w:autoSpaceDN/>
        <w:bidi w:val="0"/>
        <w:adjustRightInd w:val="0"/>
        <w:snapToGrid w:val="0"/>
        <w:spacing w:line="560" w:lineRule="exact"/>
        <w:ind w:left="480" w:hanging="560" w:hangingChars="200"/>
        <w:rPr>
          <w:rFonts w:hint="eastAsia" w:ascii="仿宋" w:hAnsi="仿宋" w:eastAsia="仿宋" w:cs="仿宋"/>
          <w:sz w:val="28"/>
          <w:szCs w:val="28"/>
        </w:rPr>
      </w:pPr>
      <w:r>
        <w:rPr>
          <w:rFonts w:hint="eastAsia" w:ascii="仿宋" w:hAnsi="仿宋" w:eastAsia="仿宋" w:cs="仿宋"/>
          <w:sz w:val="28"/>
          <w:szCs w:val="28"/>
        </w:rPr>
        <w:t>乙方应严肃对待接待过程中提出投诉的，乙方应尽力在当地及时解决，并将处理情况书面通知甲方；未能在当地解决的，应及时书面通知甲方。</w:t>
      </w:r>
    </w:p>
    <w:p w14:paraId="312A83E0">
      <w:pPr>
        <w:keepNext w:val="0"/>
        <w:keepLines w:val="0"/>
        <w:pageBreakBefore w:val="0"/>
        <w:numPr>
          <w:ilvl w:val="0"/>
          <w:numId w:val="15"/>
        </w:numPr>
        <w:kinsoku/>
        <w:wordWrap/>
        <w:overflowPunct/>
        <w:topLinePunct w:val="0"/>
        <w:autoSpaceDE/>
        <w:autoSpaceDN/>
        <w:bidi w:val="0"/>
        <w:adjustRightInd w:val="0"/>
        <w:snapToGrid w:val="0"/>
        <w:spacing w:line="560" w:lineRule="exact"/>
        <w:ind w:left="480" w:hanging="560" w:hangingChars="200"/>
        <w:rPr>
          <w:rFonts w:hint="eastAsia" w:ascii="仿宋" w:hAnsi="仿宋" w:eastAsia="仿宋" w:cs="仿宋"/>
          <w:sz w:val="28"/>
          <w:szCs w:val="28"/>
        </w:rPr>
      </w:pPr>
      <w:r>
        <w:rPr>
          <w:rFonts w:hint="eastAsia" w:ascii="仿宋" w:hAnsi="仿宋" w:eastAsia="仿宋" w:cs="仿宋"/>
          <w:sz w:val="28"/>
          <w:szCs w:val="28"/>
        </w:rPr>
        <w:t>乙方应积极配合甲方处理</w:t>
      </w:r>
      <w:r>
        <w:rPr>
          <w:rFonts w:hint="eastAsia" w:ascii="仿宋" w:hAnsi="仿宋" w:eastAsia="仿宋" w:cs="仿宋"/>
          <w:sz w:val="28"/>
          <w:szCs w:val="28"/>
          <w:lang w:val="en-US" w:eastAsia="zh-CN"/>
        </w:rPr>
        <w:t>研修营</w:t>
      </w:r>
      <w:r>
        <w:rPr>
          <w:rFonts w:hint="eastAsia" w:ascii="仿宋" w:hAnsi="仿宋" w:eastAsia="仿宋" w:cs="仿宋"/>
          <w:sz w:val="28"/>
          <w:szCs w:val="28"/>
        </w:rPr>
        <w:t>团队师生的投诉、仲裁、诉讼等服务质量纠纷，及时提供所需证据材料。</w:t>
      </w:r>
    </w:p>
    <w:p w14:paraId="7C8D2958">
      <w:pPr>
        <w:keepNext w:val="0"/>
        <w:keepLines w:val="0"/>
        <w:pageBreakBefore w:val="0"/>
        <w:numPr>
          <w:ilvl w:val="0"/>
          <w:numId w:val="15"/>
        </w:numPr>
        <w:kinsoku/>
        <w:wordWrap/>
        <w:overflowPunct/>
        <w:topLinePunct w:val="0"/>
        <w:autoSpaceDE/>
        <w:autoSpaceDN/>
        <w:bidi w:val="0"/>
        <w:adjustRightInd w:val="0"/>
        <w:snapToGrid w:val="0"/>
        <w:spacing w:line="560" w:lineRule="exact"/>
        <w:ind w:left="480" w:hanging="560" w:hangingChars="200"/>
        <w:rPr>
          <w:rFonts w:hint="eastAsia" w:ascii="仿宋" w:hAnsi="仿宋" w:eastAsia="仿宋" w:cs="仿宋"/>
          <w:sz w:val="28"/>
          <w:szCs w:val="28"/>
        </w:rPr>
      </w:pPr>
      <w:r>
        <w:rPr>
          <w:rFonts w:hint="eastAsia" w:ascii="仿宋" w:hAnsi="仿宋" w:eastAsia="仿宋" w:cs="仿宋"/>
          <w:sz w:val="28"/>
          <w:szCs w:val="28"/>
        </w:rPr>
        <w:t>因甲方原因导致行程延误、更改、取消等所造成的经济损失由甲方承担。</w:t>
      </w:r>
    </w:p>
    <w:p w14:paraId="66D91F5D">
      <w:pPr>
        <w:keepNext w:val="0"/>
        <w:keepLines w:val="0"/>
        <w:pageBreakBefore w:val="0"/>
        <w:numPr>
          <w:ilvl w:val="0"/>
          <w:numId w:val="15"/>
        </w:numPr>
        <w:kinsoku/>
        <w:wordWrap/>
        <w:overflowPunct/>
        <w:topLinePunct w:val="0"/>
        <w:autoSpaceDE/>
        <w:autoSpaceDN/>
        <w:bidi w:val="0"/>
        <w:adjustRightInd w:val="0"/>
        <w:snapToGrid w:val="0"/>
        <w:spacing w:line="560" w:lineRule="exact"/>
        <w:ind w:left="480" w:hanging="560" w:hangingChars="200"/>
        <w:rPr>
          <w:rFonts w:hint="eastAsia" w:ascii="仿宋" w:hAnsi="仿宋" w:eastAsia="仿宋" w:cs="仿宋"/>
          <w:sz w:val="28"/>
          <w:szCs w:val="28"/>
        </w:rPr>
      </w:pPr>
      <w:r>
        <w:rPr>
          <w:rFonts w:hint="eastAsia" w:ascii="仿宋" w:hAnsi="仿宋" w:eastAsia="仿宋" w:cs="仿宋"/>
          <w:sz w:val="28"/>
          <w:szCs w:val="28"/>
        </w:rPr>
        <w:t>因乙方接待服务质量问题或其他乙方原因造成的经济损失由乙方承担。</w:t>
      </w:r>
    </w:p>
    <w:p w14:paraId="3953CE27">
      <w:pPr>
        <w:keepNext w:val="0"/>
        <w:keepLines w:val="0"/>
        <w:pageBreakBefore w:val="0"/>
        <w:numPr>
          <w:ilvl w:val="0"/>
          <w:numId w:val="15"/>
        </w:numPr>
        <w:kinsoku/>
        <w:wordWrap/>
        <w:overflowPunct/>
        <w:topLinePunct w:val="0"/>
        <w:autoSpaceDE/>
        <w:autoSpaceDN/>
        <w:bidi w:val="0"/>
        <w:adjustRightInd w:val="0"/>
        <w:snapToGrid w:val="0"/>
        <w:spacing w:line="560" w:lineRule="exact"/>
        <w:ind w:left="480" w:hanging="560" w:hangingChars="200"/>
        <w:rPr>
          <w:rFonts w:hint="eastAsia" w:ascii="仿宋" w:hAnsi="仿宋" w:eastAsia="仿宋" w:cs="仿宋"/>
          <w:sz w:val="28"/>
          <w:szCs w:val="28"/>
        </w:rPr>
      </w:pPr>
      <w:r>
        <w:rPr>
          <w:rFonts w:hint="eastAsia" w:ascii="仿宋" w:hAnsi="仿宋" w:eastAsia="仿宋" w:cs="仿宋"/>
          <w:sz w:val="28"/>
          <w:szCs w:val="28"/>
        </w:rPr>
        <w:t>因乙方接待服务质量问题或其他乙方原因所产生的经济赔偿，甲方做出赔偿后，乙方应在甲方提出追索请求并提供相关证明后</w:t>
      </w:r>
      <w:r>
        <w:rPr>
          <w:rFonts w:hint="eastAsia" w:ascii="仿宋" w:hAnsi="仿宋" w:eastAsia="仿宋" w:cs="仿宋"/>
          <w:sz w:val="28"/>
          <w:szCs w:val="28"/>
          <w:u w:val="single"/>
        </w:rPr>
        <w:t>3个工作</w:t>
      </w:r>
      <w:r>
        <w:rPr>
          <w:rFonts w:hint="eastAsia" w:ascii="仿宋" w:hAnsi="仿宋" w:eastAsia="仿宋" w:cs="仿宋"/>
          <w:sz w:val="28"/>
          <w:szCs w:val="28"/>
        </w:rPr>
        <w:t>日内对甲方予以全额赔偿：</w:t>
      </w:r>
    </w:p>
    <w:p w14:paraId="798D855D">
      <w:pPr>
        <w:keepNext w:val="0"/>
        <w:keepLines w:val="0"/>
        <w:pageBreakBefore w:val="0"/>
        <w:numPr>
          <w:ilvl w:val="0"/>
          <w:numId w:val="10"/>
        </w:numPr>
        <w:kinsoku/>
        <w:wordWrap/>
        <w:overflowPunct/>
        <w:topLinePunct w:val="0"/>
        <w:autoSpaceDE/>
        <w:autoSpaceDN/>
        <w:bidi w:val="0"/>
        <w:adjustRightInd w:val="0"/>
        <w:snapToGrid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依照甲方《国内</w:t>
      </w:r>
      <w:r>
        <w:rPr>
          <w:rFonts w:hint="eastAsia" w:ascii="仿宋" w:hAnsi="仿宋" w:eastAsia="仿宋" w:cs="仿宋"/>
          <w:color w:val="000000"/>
          <w:sz w:val="28"/>
          <w:szCs w:val="28"/>
          <w:lang w:eastAsia="zh-CN"/>
        </w:rPr>
        <w:t>研修</w:t>
      </w:r>
      <w:r>
        <w:rPr>
          <w:rFonts w:hint="eastAsia" w:ascii="仿宋" w:hAnsi="仿宋" w:eastAsia="仿宋" w:cs="仿宋"/>
          <w:color w:val="000000"/>
          <w:sz w:val="28"/>
          <w:szCs w:val="28"/>
        </w:rPr>
        <w:t>项目供应商管理办法》</w:t>
      </w:r>
      <w:r>
        <w:rPr>
          <w:rFonts w:hint="eastAsia" w:ascii="仿宋" w:hAnsi="仿宋" w:eastAsia="仿宋" w:cs="仿宋"/>
          <w:color w:val="000000"/>
          <w:sz w:val="28"/>
          <w:szCs w:val="28"/>
          <w:lang w:val="en-US" w:eastAsia="zh-CN"/>
        </w:rPr>
        <w:t>或甲方</w:t>
      </w:r>
      <w:r>
        <w:rPr>
          <w:rFonts w:hint="eastAsia" w:ascii="仿宋" w:hAnsi="仿宋" w:eastAsia="仿宋" w:cs="仿宋"/>
          <w:color w:val="000000"/>
          <w:sz w:val="28"/>
          <w:szCs w:val="28"/>
        </w:rPr>
        <w:t>和</w:t>
      </w:r>
      <w:r>
        <w:rPr>
          <w:rFonts w:hint="eastAsia" w:ascii="仿宋" w:hAnsi="仿宋" w:eastAsia="仿宋" w:cs="仿宋"/>
          <w:color w:val="000000"/>
          <w:sz w:val="28"/>
          <w:szCs w:val="28"/>
          <w:lang w:val="en-US" w:eastAsia="zh-CN"/>
        </w:rPr>
        <w:t>研修营</w:t>
      </w:r>
      <w:r>
        <w:rPr>
          <w:rFonts w:hint="eastAsia" w:ascii="仿宋" w:hAnsi="仿宋" w:eastAsia="仿宋" w:cs="仿宋"/>
          <w:color w:val="000000"/>
          <w:sz w:val="28"/>
          <w:szCs w:val="28"/>
        </w:rPr>
        <w:t>团队师生</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甲方组织的旅游者）</w:t>
      </w:r>
      <w:r>
        <w:rPr>
          <w:rFonts w:hint="eastAsia" w:ascii="仿宋" w:hAnsi="仿宋" w:eastAsia="仿宋" w:cs="仿宋"/>
          <w:color w:val="000000"/>
          <w:sz w:val="28"/>
          <w:szCs w:val="28"/>
        </w:rPr>
        <w:t>约定的赔偿标准；</w:t>
      </w:r>
    </w:p>
    <w:p w14:paraId="781CCCB8">
      <w:pPr>
        <w:keepNext w:val="0"/>
        <w:keepLines w:val="0"/>
        <w:pageBreakBefore w:val="0"/>
        <w:numPr>
          <w:ilvl w:val="0"/>
          <w:numId w:val="10"/>
        </w:numPr>
        <w:kinsoku/>
        <w:wordWrap/>
        <w:overflowPunct/>
        <w:topLinePunct w:val="0"/>
        <w:autoSpaceDE/>
        <w:autoSpaceDN/>
        <w:bidi w:val="0"/>
        <w:adjustRightInd w:val="0"/>
        <w:snapToGrid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参照国家旅游局制定的《旅行社服务质量赔偿标准》；</w:t>
      </w:r>
    </w:p>
    <w:p w14:paraId="3882BD16">
      <w:pPr>
        <w:keepNext w:val="0"/>
        <w:keepLines w:val="0"/>
        <w:pageBreakBefore w:val="0"/>
        <w:numPr>
          <w:ilvl w:val="0"/>
          <w:numId w:val="10"/>
        </w:numPr>
        <w:kinsoku/>
        <w:wordWrap/>
        <w:overflowPunct/>
        <w:topLinePunct w:val="0"/>
        <w:autoSpaceDE/>
        <w:autoSpaceDN/>
        <w:bidi w:val="0"/>
        <w:adjustRightInd w:val="0"/>
        <w:snapToGrid w:val="0"/>
        <w:spacing w:line="560" w:lineRule="exact"/>
        <w:jc w:val="both"/>
        <w:rPr>
          <w:rFonts w:hint="eastAsia" w:ascii="仿宋" w:hAnsi="仿宋" w:eastAsia="仿宋" w:cs="仿宋"/>
          <w:sz w:val="28"/>
          <w:szCs w:val="28"/>
        </w:rPr>
      </w:pPr>
      <w:r>
        <w:rPr>
          <w:rFonts w:hint="eastAsia" w:ascii="仿宋" w:hAnsi="仿宋" w:eastAsia="仿宋" w:cs="仿宋"/>
          <w:color w:val="000000"/>
          <w:sz w:val="28"/>
          <w:szCs w:val="28"/>
        </w:rPr>
        <w:t>依照法院、仲裁机构裁决所确定的数额标准。</w:t>
      </w:r>
    </w:p>
    <w:p w14:paraId="24ACAD51">
      <w:pPr>
        <w:keepNext w:val="0"/>
        <w:keepLines w:val="0"/>
        <w:pageBreakBefore w:val="0"/>
        <w:numPr>
          <w:ilvl w:val="0"/>
          <w:numId w:val="7"/>
        </w:numPr>
        <w:kinsoku/>
        <w:wordWrap/>
        <w:overflowPunct/>
        <w:topLinePunct w:val="0"/>
        <w:autoSpaceDE/>
        <w:autoSpaceDN/>
        <w:bidi w:val="0"/>
        <w:adjustRightInd w:val="0"/>
        <w:snapToGrid w:val="0"/>
        <w:spacing w:line="560" w:lineRule="exact"/>
        <w:rPr>
          <w:rFonts w:hint="eastAsia" w:ascii="仿宋" w:hAnsi="仿宋" w:eastAsia="仿宋" w:cs="仿宋"/>
          <w:sz w:val="28"/>
          <w:szCs w:val="28"/>
        </w:rPr>
      </w:pPr>
      <w:r>
        <w:rPr>
          <w:rFonts w:hint="eastAsia" w:ascii="仿宋" w:hAnsi="仿宋" w:eastAsia="仿宋" w:cs="仿宋"/>
          <w:sz w:val="28"/>
          <w:szCs w:val="28"/>
        </w:rPr>
        <w:t>违约责任</w:t>
      </w:r>
    </w:p>
    <w:p w14:paraId="2C5DF6D9">
      <w:pPr>
        <w:keepNext w:val="0"/>
        <w:keepLines w:val="0"/>
        <w:pageBreakBefore w:val="0"/>
        <w:numPr>
          <w:ilvl w:val="0"/>
          <w:numId w:val="16"/>
        </w:numPr>
        <w:kinsoku/>
        <w:wordWrap/>
        <w:overflowPunct/>
        <w:topLinePunct w:val="0"/>
        <w:autoSpaceDE/>
        <w:autoSpaceDN/>
        <w:bidi w:val="0"/>
        <w:adjustRightInd w:val="0"/>
        <w:snapToGrid w:val="0"/>
        <w:spacing w:line="560" w:lineRule="exact"/>
        <w:ind w:left="480" w:hanging="560" w:hangingChars="200"/>
        <w:rPr>
          <w:rFonts w:hint="eastAsia" w:ascii="仿宋" w:hAnsi="仿宋" w:eastAsia="仿宋" w:cs="仿宋"/>
          <w:sz w:val="28"/>
          <w:szCs w:val="28"/>
        </w:rPr>
      </w:pPr>
      <w:r>
        <w:rPr>
          <w:rFonts w:hint="eastAsia" w:ascii="仿宋" w:hAnsi="仿宋" w:eastAsia="仿宋" w:cs="仿宋"/>
          <w:sz w:val="28"/>
          <w:szCs w:val="28"/>
        </w:rPr>
        <w:t>甲、乙两方任何一方擅自单方解除本协议或协议附件视为违约，所有已产生的直接损失费用及合理间接损失由违约方承担，同时违约方还需向另一方支付违约金,违约金的额度为</w:t>
      </w:r>
      <w:r>
        <w:rPr>
          <w:rFonts w:hint="eastAsia" w:ascii="仿宋" w:hAnsi="仿宋" w:eastAsia="仿宋" w:cs="仿宋"/>
          <w:sz w:val="28"/>
          <w:szCs w:val="28"/>
          <w:lang w:val="en-US" w:eastAsia="zh-CN"/>
        </w:rPr>
        <w:t>当期研修</w:t>
      </w:r>
      <w:r>
        <w:rPr>
          <w:rFonts w:hint="eastAsia" w:ascii="仿宋" w:hAnsi="仿宋" w:eastAsia="仿宋" w:cs="仿宋"/>
          <w:sz w:val="28"/>
          <w:szCs w:val="28"/>
        </w:rPr>
        <w:t>团费总额的20%；特别说明，于出发当日7天（含）内单方提出解约的，违约金的额度提高至约定总费用的50%。</w:t>
      </w:r>
    </w:p>
    <w:p w14:paraId="2715E1BE">
      <w:pPr>
        <w:keepNext w:val="0"/>
        <w:keepLines w:val="0"/>
        <w:pageBreakBefore w:val="0"/>
        <w:numPr>
          <w:ilvl w:val="0"/>
          <w:numId w:val="16"/>
        </w:numPr>
        <w:kinsoku/>
        <w:wordWrap/>
        <w:overflowPunct/>
        <w:topLinePunct w:val="0"/>
        <w:autoSpaceDE/>
        <w:autoSpaceDN/>
        <w:bidi w:val="0"/>
        <w:adjustRightInd w:val="0"/>
        <w:snapToGrid w:val="0"/>
        <w:spacing w:line="560" w:lineRule="exact"/>
        <w:ind w:left="480" w:hanging="560" w:hangingChars="200"/>
        <w:rPr>
          <w:rFonts w:hint="eastAsia" w:ascii="仿宋" w:hAnsi="仿宋" w:eastAsia="仿宋" w:cs="仿宋"/>
          <w:sz w:val="28"/>
          <w:szCs w:val="28"/>
        </w:rPr>
      </w:pPr>
      <w:r>
        <w:rPr>
          <w:rFonts w:hint="eastAsia" w:ascii="仿宋" w:hAnsi="仿宋" w:eastAsia="仿宋" w:cs="仿宋"/>
          <w:sz w:val="28"/>
          <w:szCs w:val="28"/>
        </w:rPr>
        <w:t>乙方未经甲方及旅游者书面同意，将甲方组织的</w:t>
      </w:r>
      <w:r>
        <w:rPr>
          <w:rFonts w:hint="eastAsia" w:ascii="仿宋" w:hAnsi="仿宋" w:eastAsia="仿宋" w:cs="仿宋"/>
          <w:sz w:val="28"/>
          <w:szCs w:val="28"/>
          <w:lang w:val="en-US" w:eastAsia="zh-CN"/>
        </w:rPr>
        <w:t>研修营</w:t>
      </w:r>
      <w:r>
        <w:rPr>
          <w:rFonts w:hint="eastAsia" w:ascii="仿宋" w:hAnsi="仿宋" w:eastAsia="仿宋" w:cs="仿宋"/>
          <w:sz w:val="28"/>
          <w:szCs w:val="28"/>
        </w:rPr>
        <w:t>者与其他</w:t>
      </w:r>
      <w:r>
        <w:rPr>
          <w:rFonts w:hint="eastAsia" w:ascii="仿宋" w:hAnsi="仿宋" w:eastAsia="仿宋" w:cs="仿宋"/>
          <w:sz w:val="28"/>
          <w:szCs w:val="28"/>
          <w:lang w:val="en-US" w:eastAsia="zh-CN"/>
        </w:rPr>
        <w:t>研修营</w:t>
      </w:r>
      <w:r>
        <w:rPr>
          <w:rFonts w:hint="eastAsia" w:ascii="仿宋" w:hAnsi="仿宋" w:eastAsia="仿宋" w:cs="仿宋"/>
          <w:sz w:val="28"/>
          <w:szCs w:val="28"/>
        </w:rPr>
        <w:t>者合并接待，或者转交任何第三方接待，属于严重违约行为；乙方</w:t>
      </w:r>
      <w:r>
        <w:rPr>
          <w:rFonts w:hint="eastAsia" w:ascii="仿宋" w:hAnsi="仿宋" w:eastAsia="仿宋" w:cs="仿宋"/>
          <w:spacing w:val="-4"/>
          <w:sz w:val="28"/>
          <w:szCs w:val="28"/>
        </w:rPr>
        <w:t>应向甲方支付当团接待费用</w:t>
      </w:r>
      <w:r>
        <w:rPr>
          <w:rFonts w:hint="eastAsia" w:ascii="仿宋" w:hAnsi="仿宋" w:eastAsia="仿宋" w:cs="仿宋"/>
          <w:sz w:val="28"/>
          <w:szCs w:val="28"/>
          <w:u w:val="single"/>
        </w:rPr>
        <w:t>50</w:t>
      </w:r>
      <w:r>
        <w:rPr>
          <w:rFonts w:hint="eastAsia" w:ascii="仿宋" w:hAnsi="仿宋" w:eastAsia="仿宋" w:cs="仿宋"/>
          <w:sz w:val="28"/>
          <w:szCs w:val="28"/>
        </w:rPr>
        <w:t>%的违约金，违约金不足以弥补实际损失的，按实际损失赔偿，甲方保留终止合作的权力。</w:t>
      </w:r>
    </w:p>
    <w:p w14:paraId="78B2829E">
      <w:pPr>
        <w:keepNext w:val="0"/>
        <w:keepLines w:val="0"/>
        <w:pageBreakBefore w:val="0"/>
        <w:numPr>
          <w:ilvl w:val="0"/>
          <w:numId w:val="16"/>
        </w:numPr>
        <w:kinsoku/>
        <w:wordWrap/>
        <w:overflowPunct/>
        <w:topLinePunct w:val="0"/>
        <w:autoSpaceDE/>
        <w:autoSpaceDN/>
        <w:bidi w:val="0"/>
        <w:adjustRightInd w:val="0"/>
        <w:snapToGrid w:val="0"/>
        <w:spacing w:line="560" w:lineRule="exact"/>
        <w:ind w:left="480" w:hanging="560" w:hangingChars="200"/>
        <w:rPr>
          <w:rFonts w:hint="eastAsia" w:ascii="仿宋" w:hAnsi="仿宋" w:eastAsia="仿宋" w:cs="仿宋"/>
          <w:color w:val="000000"/>
          <w:sz w:val="28"/>
          <w:szCs w:val="28"/>
        </w:rPr>
      </w:pPr>
      <w:r>
        <w:rPr>
          <w:rFonts w:hint="eastAsia" w:ascii="仿宋" w:hAnsi="仿宋" w:eastAsia="仿宋" w:cs="仿宋"/>
          <w:sz w:val="28"/>
          <w:szCs w:val="28"/>
        </w:rPr>
        <w:t>乙方未按</w:t>
      </w:r>
      <w:r>
        <w:rPr>
          <w:rFonts w:hint="eastAsia" w:ascii="仿宋" w:hAnsi="仿宋" w:eastAsia="仿宋" w:cs="仿宋"/>
          <w:sz w:val="28"/>
          <w:szCs w:val="28"/>
          <w:lang w:eastAsia="zh-CN"/>
        </w:rPr>
        <w:t>协议</w:t>
      </w:r>
      <w:r>
        <w:rPr>
          <w:rFonts w:hint="eastAsia" w:ascii="仿宋" w:hAnsi="仿宋" w:eastAsia="仿宋" w:cs="仿宋"/>
          <w:sz w:val="28"/>
          <w:szCs w:val="28"/>
          <w:lang w:val="en-US" w:eastAsia="zh-CN"/>
        </w:rPr>
        <w:t>约定、</w:t>
      </w:r>
      <w:r>
        <w:rPr>
          <w:rFonts w:hint="eastAsia" w:ascii="仿宋" w:hAnsi="仿宋" w:eastAsia="仿宋" w:cs="仿宋"/>
          <w:color w:val="000000"/>
          <w:sz w:val="28"/>
          <w:szCs w:val="28"/>
        </w:rPr>
        <w:t>《国内</w:t>
      </w:r>
      <w:r>
        <w:rPr>
          <w:rFonts w:hint="eastAsia" w:ascii="仿宋" w:hAnsi="仿宋" w:eastAsia="仿宋" w:cs="仿宋"/>
          <w:color w:val="000000"/>
          <w:sz w:val="28"/>
          <w:szCs w:val="28"/>
          <w:lang w:eastAsia="zh-CN"/>
        </w:rPr>
        <w:t>研修</w:t>
      </w:r>
      <w:r>
        <w:rPr>
          <w:rFonts w:hint="eastAsia" w:ascii="仿宋" w:hAnsi="仿宋" w:eastAsia="仿宋" w:cs="仿宋"/>
          <w:color w:val="000000"/>
          <w:sz w:val="28"/>
          <w:szCs w:val="28"/>
        </w:rPr>
        <w:t>项目供应商管理办法》</w:t>
      </w:r>
      <w:r>
        <w:rPr>
          <w:rFonts w:hint="eastAsia" w:ascii="仿宋" w:hAnsi="仿宋" w:eastAsia="仿宋" w:cs="仿宋"/>
          <w:color w:val="000000"/>
          <w:sz w:val="28"/>
          <w:szCs w:val="28"/>
          <w:lang w:val="en-US" w:eastAsia="zh-CN"/>
        </w:rPr>
        <w:t>及其他相关规范性文件</w:t>
      </w:r>
      <w:r>
        <w:rPr>
          <w:rFonts w:hint="eastAsia" w:ascii="仿宋" w:hAnsi="仿宋" w:eastAsia="仿宋" w:cs="仿宋"/>
          <w:color w:val="000000"/>
          <w:sz w:val="28"/>
          <w:szCs w:val="28"/>
        </w:rPr>
        <w:t>要求</w:t>
      </w:r>
      <w:r>
        <w:rPr>
          <w:rFonts w:hint="eastAsia" w:ascii="仿宋" w:hAnsi="仿宋" w:eastAsia="仿宋" w:cs="仿宋"/>
          <w:sz w:val="28"/>
          <w:szCs w:val="28"/>
        </w:rPr>
        <w:t>选择具有</w:t>
      </w:r>
      <w:r>
        <w:rPr>
          <w:rFonts w:hint="eastAsia" w:ascii="仿宋" w:hAnsi="仿宋" w:eastAsia="仿宋" w:cs="仿宋"/>
          <w:color w:val="000000"/>
          <w:sz w:val="28"/>
          <w:szCs w:val="28"/>
        </w:rPr>
        <w:t>相应</w:t>
      </w:r>
      <w:r>
        <w:rPr>
          <w:rFonts w:hint="eastAsia" w:ascii="仿宋" w:hAnsi="仿宋" w:eastAsia="仿宋" w:cs="仿宋"/>
          <w:sz w:val="28"/>
          <w:szCs w:val="28"/>
        </w:rPr>
        <w:t>经营资质或接待能力的服务，属于严重违约行为，除乙方</w:t>
      </w:r>
      <w:r>
        <w:rPr>
          <w:rFonts w:hint="eastAsia" w:ascii="仿宋" w:hAnsi="仿宋" w:eastAsia="仿宋" w:cs="仿宋"/>
          <w:spacing w:val="-4"/>
          <w:sz w:val="28"/>
          <w:szCs w:val="28"/>
        </w:rPr>
        <w:t>应向甲方支付当团接待费用</w:t>
      </w:r>
      <w:r>
        <w:rPr>
          <w:rFonts w:hint="eastAsia" w:ascii="仿宋" w:hAnsi="仿宋" w:eastAsia="仿宋" w:cs="仿宋"/>
          <w:sz w:val="28"/>
          <w:szCs w:val="28"/>
          <w:u w:val="single"/>
        </w:rPr>
        <w:t>50</w:t>
      </w:r>
      <w:r>
        <w:rPr>
          <w:rFonts w:hint="eastAsia" w:ascii="仿宋" w:hAnsi="仿宋" w:eastAsia="仿宋" w:cs="仿宋"/>
          <w:sz w:val="28"/>
          <w:szCs w:val="28"/>
        </w:rPr>
        <w:t>%的违约金之外，甲方保留终止合作的权力。</w:t>
      </w:r>
      <w:r>
        <w:rPr>
          <w:rFonts w:hint="eastAsia" w:ascii="仿宋" w:hAnsi="仿宋" w:eastAsia="仿宋" w:cs="仿宋"/>
          <w:color w:val="000000"/>
          <w:sz w:val="28"/>
          <w:szCs w:val="28"/>
          <w:lang w:val="en-US" w:eastAsia="zh-CN"/>
        </w:rPr>
        <w:t>如前述违约金不足以弥补甲方损失，乙方应全额赔偿。</w:t>
      </w:r>
    </w:p>
    <w:p w14:paraId="55B4A2A3">
      <w:pPr>
        <w:keepNext w:val="0"/>
        <w:keepLines w:val="0"/>
        <w:pageBreakBefore w:val="0"/>
        <w:numPr>
          <w:ilvl w:val="0"/>
          <w:numId w:val="16"/>
        </w:numPr>
        <w:kinsoku/>
        <w:wordWrap/>
        <w:overflowPunct/>
        <w:topLinePunct w:val="0"/>
        <w:autoSpaceDE/>
        <w:autoSpaceDN/>
        <w:bidi w:val="0"/>
        <w:adjustRightInd w:val="0"/>
        <w:snapToGrid w:val="0"/>
        <w:spacing w:line="560" w:lineRule="exact"/>
        <w:ind w:left="480" w:hanging="560"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因乙方违法违规行为导致甲方受到行政处罚的，</w:t>
      </w:r>
      <w:r>
        <w:rPr>
          <w:rFonts w:hint="eastAsia" w:ascii="仿宋" w:hAnsi="仿宋" w:eastAsia="仿宋" w:cs="仿宋"/>
          <w:sz w:val="28"/>
          <w:szCs w:val="28"/>
        </w:rPr>
        <w:t>属于严重违约行为，除乙方</w:t>
      </w:r>
      <w:r>
        <w:rPr>
          <w:rFonts w:hint="eastAsia" w:ascii="仿宋" w:hAnsi="仿宋" w:eastAsia="仿宋" w:cs="仿宋"/>
          <w:spacing w:val="-4"/>
          <w:sz w:val="28"/>
          <w:szCs w:val="28"/>
        </w:rPr>
        <w:t>应向甲方支付当</w:t>
      </w:r>
      <w:r>
        <w:rPr>
          <w:rFonts w:hint="eastAsia" w:ascii="仿宋" w:hAnsi="仿宋" w:eastAsia="仿宋" w:cs="仿宋"/>
          <w:spacing w:val="-4"/>
          <w:sz w:val="28"/>
          <w:szCs w:val="28"/>
          <w:lang w:val="en-US" w:eastAsia="zh-CN"/>
        </w:rPr>
        <w:t>期研修营</w:t>
      </w:r>
      <w:r>
        <w:rPr>
          <w:rFonts w:hint="eastAsia" w:ascii="仿宋" w:hAnsi="仿宋" w:eastAsia="仿宋" w:cs="仿宋"/>
          <w:spacing w:val="-4"/>
          <w:sz w:val="28"/>
          <w:szCs w:val="28"/>
        </w:rPr>
        <w:t>团费</w:t>
      </w:r>
      <w:r>
        <w:rPr>
          <w:rFonts w:hint="eastAsia" w:ascii="仿宋" w:hAnsi="仿宋" w:eastAsia="仿宋" w:cs="仿宋"/>
          <w:sz w:val="28"/>
          <w:szCs w:val="28"/>
          <w:u w:val="single"/>
        </w:rPr>
        <w:t>50</w:t>
      </w:r>
      <w:r>
        <w:rPr>
          <w:rFonts w:hint="eastAsia" w:ascii="仿宋" w:hAnsi="仿宋" w:eastAsia="仿宋" w:cs="仿宋"/>
          <w:sz w:val="28"/>
          <w:szCs w:val="28"/>
        </w:rPr>
        <w:t>%的违约金之外，甲方保留终止合作的权力</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如前述违约金不足以弥补甲方损失，乙方应全额赔偿。</w:t>
      </w:r>
    </w:p>
    <w:p w14:paraId="0F4D2FD1">
      <w:pPr>
        <w:keepNext w:val="0"/>
        <w:keepLines w:val="0"/>
        <w:pageBreakBefore w:val="0"/>
        <w:numPr>
          <w:ilvl w:val="0"/>
          <w:numId w:val="16"/>
        </w:numPr>
        <w:kinsoku/>
        <w:wordWrap/>
        <w:overflowPunct/>
        <w:topLinePunct w:val="0"/>
        <w:autoSpaceDE/>
        <w:autoSpaceDN/>
        <w:bidi w:val="0"/>
        <w:adjustRightInd w:val="0"/>
        <w:snapToGrid w:val="0"/>
        <w:spacing w:line="560" w:lineRule="exact"/>
        <w:ind w:left="480" w:hanging="560"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甲方和乙方任何一方泄露在经营</w:t>
      </w:r>
      <w:r>
        <w:rPr>
          <w:rFonts w:hint="eastAsia" w:ascii="仿宋" w:hAnsi="仿宋" w:eastAsia="仿宋" w:cs="仿宋"/>
          <w:color w:val="000000"/>
          <w:sz w:val="28"/>
          <w:szCs w:val="28"/>
          <w:lang w:eastAsia="zh-CN"/>
        </w:rPr>
        <w:t>研修营</w:t>
      </w:r>
      <w:r>
        <w:rPr>
          <w:rFonts w:hint="eastAsia" w:ascii="仿宋" w:hAnsi="仿宋" w:eastAsia="仿宋" w:cs="仿宋"/>
          <w:color w:val="000000"/>
          <w:sz w:val="28"/>
          <w:szCs w:val="28"/>
        </w:rPr>
        <w:t>中获取的商业秘密，包括且不限于</w:t>
      </w:r>
      <w:r>
        <w:rPr>
          <w:rFonts w:hint="eastAsia" w:ascii="仿宋" w:hAnsi="仿宋" w:eastAsia="仿宋" w:cs="仿宋"/>
          <w:color w:val="000000"/>
          <w:sz w:val="28"/>
          <w:szCs w:val="28"/>
          <w:lang w:val="en-US" w:eastAsia="zh-CN"/>
        </w:rPr>
        <w:t>研修营</w:t>
      </w:r>
      <w:r>
        <w:rPr>
          <w:rFonts w:hint="eastAsia" w:ascii="仿宋" w:hAnsi="仿宋" w:eastAsia="仿宋" w:cs="仿宋"/>
          <w:color w:val="000000"/>
          <w:sz w:val="28"/>
          <w:szCs w:val="28"/>
        </w:rPr>
        <w:t>收费、</w:t>
      </w:r>
      <w:r>
        <w:rPr>
          <w:rFonts w:hint="eastAsia" w:ascii="仿宋" w:hAnsi="仿宋" w:eastAsia="仿宋" w:cs="仿宋"/>
          <w:color w:val="000000"/>
          <w:sz w:val="28"/>
          <w:szCs w:val="28"/>
          <w:lang w:val="en-US" w:eastAsia="zh-CN"/>
        </w:rPr>
        <w:t>研修营</w:t>
      </w:r>
      <w:r>
        <w:rPr>
          <w:rFonts w:hint="eastAsia" w:ascii="仿宋" w:hAnsi="仿宋" w:eastAsia="仿宋" w:cs="仿宋"/>
          <w:color w:val="000000"/>
          <w:sz w:val="28"/>
          <w:szCs w:val="28"/>
        </w:rPr>
        <w:t>师生个人信息等，属于违约行为；由此导致恶劣影响者属于严重违约行为。</w:t>
      </w:r>
      <w:r>
        <w:rPr>
          <w:rFonts w:hint="eastAsia" w:ascii="仿宋" w:hAnsi="仿宋" w:eastAsia="仿宋" w:cs="仿宋"/>
          <w:sz w:val="28"/>
          <w:szCs w:val="28"/>
        </w:rPr>
        <w:t>除违约方</w:t>
      </w:r>
      <w:r>
        <w:rPr>
          <w:rFonts w:hint="eastAsia" w:ascii="仿宋" w:hAnsi="仿宋" w:eastAsia="仿宋" w:cs="仿宋"/>
          <w:spacing w:val="-4"/>
          <w:sz w:val="28"/>
          <w:szCs w:val="28"/>
        </w:rPr>
        <w:t>应向对方支付当</w:t>
      </w:r>
      <w:r>
        <w:rPr>
          <w:rFonts w:hint="eastAsia" w:ascii="仿宋" w:hAnsi="仿宋" w:eastAsia="仿宋" w:cs="仿宋"/>
          <w:spacing w:val="-4"/>
          <w:sz w:val="28"/>
          <w:szCs w:val="28"/>
          <w:lang w:val="en-US" w:eastAsia="zh-CN"/>
        </w:rPr>
        <w:t>期研修营团</w:t>
      </w:r>
      <w:r>
        <w:rPr>
          <w:rFonts w:hint="eastAsia" w:ascii="仿宋" w:hAnsi="仿宋" w:eastAsia="仿宋" w:cs="仿宋"/>
          <w:spacing w:val="-4"/>
          <w:sz w:val="28"/>
          <w:szCs w:val="28"/>
        </w:rPr>
        <w:t>费</w:t>
      </w:r>
      <w:r>
        <w:rPr>
          <w:rFonts w:hint="eastAsia" w:ascii="仿宋" w:hAnsi="仿宋" w:eastAsia="仿宋" w:cs="仿宋"/>
          <w:sz w:val="28"/>
          <w:szCs w:val="28"/>
          <w:u w:val="single"/>
        </w:rPr>
        <w:t>50</w:t>
      </w:r>
      <w:r>
        <w:rPr>
          <w:rFonts w:hint="eastAsia" w:ascii="仿宋" w:hAnsi="仿宋" w:eastAsia="仿宋" w:cs="仿宋"/>
          <w:sz w:val="28"/>
          <w:szCs w:val="28"/>
        </w:rPr>
        <w:t>%的违约金之外，守约方保留终止合作的权力</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如前述违约金不足以弥补甲方损失，乙方应全额赔偿。</w:t>
      </w:r>
    </w:p>
    <w:p w14:paraId="0E30664F">
      <w:pPr>
        <w:keepNext w:val="0"/>
        <w:keepLines w:val="0"/>
        <w:pageBreakBefore w:val="0"/>
        <w:numPr>
          <w:ilvl w:val="0"/>
          <w:numId w:val="16"/>
        </w:numPr>
        <w:kinsoku/>
        <w:wordWrap/>
        <w:overflowPunct/>
        <w:topLinePunct w:val="0"/>
        <w:autoSpaceDE/>
        <w:autoSpaceDN/>
        <w:bidi w:val="0"/>
        <w:adjustRightInd w:val="0"/>
        <w:snapToGrid w:val="0"/>
        <w:spacing w:line="560" w:lineRule="exact"/>
        <w:ind w:left="480" w:hanging="560" w:hanging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本</w:t>
      </w:r>
      <w:r>
        <w:rPr>
          <w:rFonts w:hint="eastAsia" w:ascii="仿宋" w:hAnsi="仿宋" w:eastAsia="仿宋" w:cs="仿宋"/>
          <w:color w:val="000000"/>
          <w:sz w:val="28"/>
          <w:szCs w:val="28"/>
          <w:lang w:eastAsia="zh-CN"/>
        </w:rPr>
        <w:t>协议</w:t>
      </w:r>
      <w:r>
        <w:rPr>
          <w:rFonts w:hint="eastAsia" w:ascii="仿宋" w:hAnsi="仿宋" w:eastAsia="仿宋" w:cs="仿宋"/>
          <w:color w:val="000000"/>
          <w:sz w:val="28"/>
          <w:szCs w:val="28"/>
        </w:rPr>
        <w:t>所约定的损失赔偿，应包括直接损失和间接损失，间接损失包括但不限于诉讼费、律师费、调查取证费等为实现</w:t>
      </w:r>
      <w:r>
        <w:rPr>
          <w:rFonts w:hint="eastAsia" w:ascii="仿宋" w:hAnsi="仿宋" w:eastAsia="仿宋" w:cs="仿宋"/>
          <w:color w:val="000000"/>
          <w:sz w:val="28"/>
          <w:szCs w:val="28"/>
          <w:lang w:eastAsia="zh-CN"/>
        </w:rPr>
        <w:t>协议</w:t>
      </w:r>
      <w:r>
        <w:rPr>
          <w:rFonts w:hint="eastAsia" w:ascii="仿宋" w:hAnsi="仿宋" w:eastAsia="仿宋" w:cs="仿宋"/>
          <w:color w:val="000000"/>
          <w:sz w:val="28"/>
          <w:szCs w:val="28"/>
        </w:rPr>
        <w:t>权利所支出的合理费用。</w:t>
      </w:r>
    </w:p>
    <w:p w14:paraId="429CB8A1">
      <w:pPr>
        <w:keepNext w:val="0"/>
        <w:keepLines w:val="0"/>
        <w:pageBreakBefore w:val="0"/>
        <w:numPr>
          <w:ilvl w:val="0"/>
          <w:numId w:val="16"/>
        </w:numPr>
        <w:kinsoku/>
        <w:wordWrap/>
        <w:overflowPunct/>
        <w:topLinePunct w:val="0"/>
        <w:autoSpaceDE/>
        <w:autoSpaceDN/>
        <w:bidi w:val="0"/>
        <w:adjustRightInd w:val="0"/>
        <w:snapToGrid w:val="0"/>
        <w:spacing w:line="560" w:lineRule="exact"/>
        <w:ind w:left="480" w:hanging="560"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协议的生效和终止</w:t>
      </w:r>
    </w:p>
    <w:p w14:paraId="15530AB0">
      <w:pPr>
        <w:keepNext w:val="0"/>
        <w:keepLines w:val="0"/>
        <w:pageBreakBefore w:val="0"/>
        <w:numPr>
          <w:ilvl w:val="0"/>
          <w:numId w:val="16"/>
        </w:numPr>
        <w:kinsoku/>
        <w:wordWrap/>
        <w:overflowPunct/>
        <w:topLinePunct w:val="0"/>
        <w:autoSpaceDE/>
        <w:autoSpaceDN/>
        <w:bidi w:val="0"/>
        <w:adjustRightInd w:val="0"/>
        <w:snapToGrid w:val="0"/>
        <w:spacing w:line="560" w:lineRule="exact"/>
        <w:ind w:left="480" w:hanging="560"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本协议自签字</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盖章</w:t>
      </w:r>
      <w:r>
        <w:rPr>
          <w:rFonts w:hint="eastAsia" w:ascii="仿宋" w:hAnsi="仿宋" w:eastAsia="仿宋" w:cs="仿宋"/>
          <w:color w:val="000000"/>
          <w:sz w:val="28"/>
          <w:szCs w:val="28"/>
        </w:rPr>
        <w:t>之日起生效，到本</w:t>
      </w:r>
      <w:r>
        <w:rPr>
          <w:rFonts w:hint="eastAsia" w:ascii="仿宋" w:hAnsi="仿宋" w:eastAsia="仿宋" w:cs="仿宋"/>
          <w:color w:val="000000"/>
          <w:sz w:val="28"/>
          <w:szCs w:val="28"/>
          <w:lang w:eastAsia="zh-CN"/>
        </w:rPr>
        <w:t>研修营</w:t>
      </w:r>
      <w:r>
        <w:rPr>
          <w:rFonts w:hint="eastAsia" w:ascii="仿宋" w:hAnsi="仿宋" w:eastAsia="仿宋" w:cs="仿宋"/>
          <w:color w:val="000000"/>
          <w:sz w:val="28"/>
          <w:szCs w:val="28"/>
        </w:rPr>
        <w:t>团结束、财务结算后无未尽事宜，</w:t>
      </w:r>
      <w:r>
        <w:rPr>
          <w:rFonts w:hint="eastAsia" w:ascii="仿宋" w:hAnsi="仿宋" w:eastAsia="仿宋" w:cs="仿宋"/>
          <w:color w:val="000000"/>
          <w:sz w:val="28"/>
          <w:szCs w:val="28"/>
          <w:lang w:eastAsia="zh-CN"/>
        </w:rPr>
        <w:t>即告</w:t>
      </w:r>
      <w:r>
        <w:rPr>
          <w:rFonts w:hint="eastAsia" w:ascii="仿宋" w:hAnsi="仿宋" w:eastAsia="仿宋" w:cs="仿宋"/>
          <w:color w:val="000000"/>
          <w:sz w:val="28"/>
          <w:szCs w:val="28"/>
        </w:rPr>
        <w:t>终止。</w:t>
      </w:r>
    </w:p>
    <w:p w14:paraId="54E587F7">
      <w:pPr>
        <w:keepNext w:val="0"/>
        <w:keepLines w:val="0"/>
        <w:pageBreakBefore w:val="0"/>
        <w:numPr>
          <w:ilvl w:val="0"/>
          <w:numId w:val="16"/>
        </w:numPr>
        <w:kinsoku/>
        <w:wordWrap/>
        <w:overflowPunct/>
        <w:topLinePunct w:val="0"/>
        <w:autoSpaceDE/>
        <w:autoSpaceDN/>
        <w:bidi w:val="0"/>
        <w:adjustRightInd w:val="0"/>
        <w:snapToGrid w:val="0"/>
        <w:spacing w:line="560" w:lineRule="exact"/>
        <w:ind w:left="480" w:hanging="560"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主体合同到期不影响本协议所涉及未完成</w:t>
      </w:r>
      <w:r>
        <w:rPr>
          <w:rFonts w:hint="eastAsia" w:ascii="仿宋" w:hAnsi="仿宋" w:eastAsia="仿宋" w:cs="仿宋"/>
          <w:color w:val="000000"/>
          <w:sz w:val="28"/>
          <w:szCs w:val="28"/>
          <w:lang w:eastAsia="zh-CN"/>
        </w:rPr>
        <w:t>研修营</w:t>
      </w:r>
      <w:r>
        <w:rPr>
          <w:rFonts w:hint="eastAsia" w:ascii="仿宋" w:hAnsi="仿宋" w:eastAsia="仿宋" w:cs="仿宋"/>
          <w:color w:val="000000"/>
          <w:sz w:val="28"/>
          <w:szCs w:val="28"/>
        </w:rPr>
        <w:t>的正常履行。</w:t>
      </w:r>
    </w:p>
    <w:p w14:paraId="0F708713">
      <w:pPr>
        <w:keepNext w:val="0"/>
        <w:keepLines w:val="0"/>
        <w:pageBreakBefore w:val="0"/>
        <w:numPr>
          <w:ilvl w:val="0"/>
          <w:numId w:val="16"/>
        </w:numPr>
        <w:kinsoku/>
        <w:wordWrap/>
        <w:overflowPunct/>
        <w:topLinePunct w:val="0"/>
        <w:autoSpaceDE/>
        <w:autoSpaceDN/>
        <w:bidi w:val="0"/>
        <w:adjustRightInd w:val="0"/>
        <w:snapToGrid w:val="0"/>
        <w:spacing w:line="560" w:lineRule="exact"/>
        <w:ind w:left="480" w:hanging="560" w:hangingChars="2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本协议的签订和履行适用中国大陆地区法律法规，并由甲方所在地人民法院管辖。</w:t>
      </w:r>
    </w:p>
    <w:p w14:paraId="791BFD62">
      <w:pPr>
        <w:keepNext w:val="0"/>
        <w:keepLines w:val="0"/>
        <w:pageBreakBefore w:val="0"/>
        <w:numPr>
          <w:ilvl w:val="255"/>
          <w:numId w:val="0"/>
        </w:numPr>
        <w:kinsoku/>
        <w:wordWrap/>
        <w:overflowPunct/>
        <w:topLinePunct w:val="0"/>
        <w:autoSpaceDE/>
        <w:autoSpaceDN/>
        <w:bidi w:val="0"/>
        <w:adjustRightInd w:val="0"/>
        <w:snapToGrid w:val="0"/>
        <w:spacing w:line="560" w:lineRule="exact"/>
        <w:ind w:left="-480" w:leftChars="-20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14、</w:t>
      </w:r>
      <w:r>
        <w:rPr>
          <w:rFonts w:hint="eastAsia" w:ascii="仿宋" w:hAnsi="仿宋" w:eastAsia="仿宋" w:cs="仿宋"/>
          <w:sz w:val="28"/>
          <w:szCs w:val="28"/>
        </w:rPr>
        <w:t>本</w:t>
      </w:r>
      <w:r>
        <w:rPr>
          <w:rFonts w:hint="eastAsia" w:ascii="仿宋" w:hAnsi="仿宋" w:eastAsia="仿宋" w:cs="仿宋"/>
          <w:sz w:val="28"/>
          <w:szCs w:val="28"/>
          <w:lang w:eastAsia="zh-CN"/>
        </w:rPr>
        <w:t>协议</w:t>
      </w:r>
      <w:r>
        <w:rPr>
          <w:rFonts w:hint="eastAsia" w:ascii="仿宋" w:hAnsi="仿宋" w:eastAsia="仿宋" w:cs="仿宋"/>
          <w:sz w:val="28"/>
          <w:szCs w:val="28"/>
        </w:rPr>
        <w:t>一式肆份</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各执两份</w:t>
      </w:r>
      <w:r>
        <w:rPr>
          <w:rFonts w:hint="eastAsia" w:ascii="仿宋" w:hAnsi="仿宋" w:eastAsia="仿宋" w:cs="仿宋"/>
          <w:color w:val="000000"/>
          <w:sz w:val="28"/>
          <w:szCs w:val="28"/>
        </w:rPr>
        <w:t>自双方签字盖章之日起生效，具有同等法律效力。</w:t>
      </w:r>
    </w:p>
    <w:p w14:paraId="5C1A989F">
      <w:pPr>
        <w:keepNext w:val="0"/>
        <w:keepLines w:val="0"/>
        <w:pageBreakBefore w:val="0"/>
        <w:kinsoku/>
        <w:wordWrap/>
        <w:overflowPunct/>
        <w:topLinePunct w:val="0"/>
        <w:autoSpaceDE/>
        <w:autoSpaceDN/>
        <w:bidi w:val="0"/>
        <w:adjustRightInd w:val="0"/>
        <w:snapToGrid w:val="0"/>
        <w:spacing w:line="560" w:lineRule="exact"/>
        <w:ind w:left="-480" w:leftChars="-200" w:firstLine="560" w:firstLineChars="200"/>
        <w:rPr>
          <w:rFonts w:hint="eastAsia" w:ascii="仿宋" w:hAnsi="仿宋" w:eastAsia="仿宋" w:cs="仿宋"/>
          <w:sz w:val="28"/>
          <w:szCs w:val="28"/>
        </w:rPr>
      </w:pPr>
      <w:r>
        <w:rPr>
          <w:rFonts w:hint="eastAsia" w:ascii="仿宋" w:hAnsi="仿宋" w:eastAsia="仿宋" w:cs="仿宋"/>
          <w:sz w:val="28"/>
          <w:szCs w:val="28"/>
        </w:rPr>
        <w:t>此行以下无正文！</w:t>
      </w:r>
    </w:p>
    <w:p w14:paraId="74A31DFE">
      <w:pPr>
        <w:keepNext w:val="0"/>
        <w:keepLines w:val="0"/>
        <w:pageBreakBefore w:val="0"/>
        <w:kinsoku/>
        <w:wordWrap/>
        <w:overflowPunct/>
        <w:topLinePunct w:val="0"/>
        <w:autoSpaceDE/>
        <w:autoSpaceDN/>
        <w:bidi w:val="0"/>
        <w:spacing w:line="560" w:lineRule="exact"/>
        <w:ind w:firstLine="840" w:firstLineChars="300"/>
        <w:rPr>
          <w:rFonts w:hint="eastAsia" w:ascii="仿宋" w:hAnsi="仿宋" w:eastAsia="仿宋" w:cs="仿宋"/>
          <w:sz w:val="28"/>
          <w:szCs w:val="28"/>
        </w:rPr>
      </w:pPr>
    </w:p>
    <w:p w14:paraId="592659EC">
      <w:pPr>
        <w:keepNext w:val="0"/>
        <w:keepLines w:val="0"/>
        <w:pageBreakBefore w:val="0"/>
        <w:widowControl w:val="0"/>
        <w:kinsoku/>
        <w:wordWrap/>
        <w:overflowPunct/>
        <w:topLinePunct w:val="0"/>
        <w:autoSpaceDE/>
        <w:autoSpaceDN/>
        <w:bidi w:val="0"/>
        <w:adjustRightInd w:val="0"/>
        <w:snapToGrid w:val="0"/>
        <w:spacing w:after="0" w:line="560" w:lineRule="exact"/>
        <w:textAlignment w:val="auto"/>
        <w:rPr>
          <w:rFonts w:hint="eastAsia" w:ascii="仿宋" w:hAnsi="仿宋" w:eastAsia="仿宋" w:cs="仿宋"/>
          <w:sz w:val="28"/>
          <w:szCs w:val="28"/>
          <w:lang w:val="en-US" w:eastAsia="zh-CN"/>
        </w:rPr>
      </w:pPr>
    </w:p>
    <w:p w14:paraId="59A36E9A">
      <w:pPr>
        <w:keepNext w:val="0"/>
        <w:keepLines w:val="0"/>
        <w:pageBreakBefore w:val="0"/>
        <w:widowControl w:val="0"/>
        <w:kinsoku/>
        <w:wordWrap/>
        <w:overflowPunct/>
        <w:topLinePunct w:val="0"/>
        <w:autoSpaceDE/>
        <w:autoSpaceDN/>
        <w:bidi w:val="0"/>
        <w:adjustRightInd w:val="0"/>
        <w:snapToGrid w:val="0"/>
        <w:spacing w:after="0" w:line="560" w:lineRule="exact"/>
        <w:ind w:firstLine="560" w:firstLineChars="200"/>
        <w:textAlignment w:val="auto"/>
        <w:rPr>
          <w:rFonts w:hint="eastAsia" w:ascii="仿宋" w:hAnsi="仿宋" w:eastAsia="仿宋" w:cs="仿宋"/>
          <w:sz w:val="28"/>
          <w:szCs w:val="28"/>
          <w:lang w:val="en-US" w:eastAsia="zh-CN"/>
        </w:rPr>
      </w:pPr>
    </w:p>
    <w:p w14:paraId="51EBA9F8">
      <w:pPr>
        <w:keepNext w:val="0"/>
        <w:keepLines w:val="0"/>
        <w:pageBreakBefore w:val="0"/>
        <w:widowControl w:val="0"/>
        <w:kinsoku/>
        <w:wordWrap/>
        <w:overflowPunct/>
        <w:topLinePunct w:val="0"/>
        <w:autoSpaceDE/>
        <w:autoSpaceDN/>
        <w:bidi w:val="0"/>
        <w:adjustRightInd w:val="0"/>
        <w:snapToGrid w:val="0"/>
        <w:spacing w:after="0" w:line="560" w:lineRule="exact"/>
        <w:ind w:left="0" w:firstLine="0" w:firstLineChars="0"/>
        <w:jc w:val="left"/>
        <w:rPr>
          <w:rFonts w:hint="eastAsia" w:ascii="仿宋" w:hAnsi="仿宋" w:eastAsia="仿宋" w:cs="仿宋"/>
          <w:sz w:val="28"/>
          <w:szCs w:val="28"/>
        </w:rPr>
      </w:pPr>
      <w:r>
        <w:rPr>
          <w:rFonts w:hint="eastAsia" w:ascii="仿宋" w:hAnsi="仿宋" w:eastAsia="仿宋" w:cs="仿宋"/>
          <w:sz w:val="28"/>
          <w:szCs w:val="28"/>
        </w:rPr>
        <w:t xml:space="preserve">甲方（盖章）：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乙方（盖章）：</w:t>
      </w:r>
    </w:p>
    <w:p w14:paraId="458A708A">
      <w:pPr>
        <w:keepNext w:val="0"/>
        <w:keepLines w:val="0"/>
        <w:pageBreakBefore w:val="0"/>
        <w:widowControl w:val="0"/>
        <w:kinsoku/>
        <w:wordWrap/>
        <w:overflowPunct/>
        <w:topLinePunct w:val="0"/>
        <w:autoSpaceDE/>
        <w:autoSpaceDN/>
        <w:bidi w:val="0"/>
        <w:adjustRightInd w:val="0"/>
        <w:snapToGrid w:val="0"/>
        <w:spacing w:after="0" w:line="560" w:lineRule="exact"/>
        <w:ind w:firstLine="0" w:firstLineChars="0"/>
        <w:jc w:val="left"/>
        <w:rPr>
          <w:rFonts w:hint="eastAsia" w:ascii="仿宋" w:hAnsi="仿宋" w:eastAsia="仿宋" w:cs="仿宋"/>
          <w:sz w:val="28"/>
          <w:szCs w:val="28"/>
        </w:rPr>
      </w:pPr>
      <w:r>
        <w:rPr>
          <w:rFonts w:hint="eastAsia" w:ascii="仿宋" w:hAnsi="仿宋" w:eastAsia="仿宋" w:cs="仿宋"/>
          <w:sz w:val="28"/>
          <w:szCs w:val="28"/>
        </w:rPr>
        <w:t>代表</w:t>
      </w:r>
      <w:r>
        <w:rPr>
          <w:rFonts w:hint="eastAsia" w:ascii="仿宋" w:hAnsi="仿宋" w:eastAsia="仿宋" w:cs="仿宋"/>
          <w:sz w:val="28"/>
          <w:szCs w:val="28"/>
          <w:lang w:val="en-US" w:eastAsia="zh-CN"/>
        </w:rPr>
        <w:t>人</w:t>
      </w:r>
      <w:r>
        <w:rPr>
          <w:rFonts w:hint="eastAsia" w:ascii="仿宋" w:hAnsi="仿宋" w:eastAsia="仿宋" w:cs="仿宋"/>
          <w:sz w:val="28"/>
          <w:szCs w:val="28"/>
        </w:rPr>
        <w:t xml:space="preserve">（签字）：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代表</w:t>
      </w:r>
      <w:r>
        <w:rPr>
          <w:rFonts w:hint="eastAsia" w:ascii="仿宋" w:hAnsi="仿宋" w:eastAsia="仿宋" w:cs="仿宋"/>
          <w:sz w:val="28"/>
          <w:szCs w:val="28"/>
          <w:lang w:val="en-US" w:eastAsia="zh-CN"/>
        </w:rPr>
        <w:t>人</w:t>
      </w:r>
      <w:r>
        <w:rPr>
          <w:rFonts w:hint="eastAsia" w:ascii="仿宋" w:hAnsi="仿宋" w:eastAsia="仿宋" w:cs="仿宋"/>
          <w:sz w:val="28"/>
          <w:szCs w:val="28"/>
        </w:rPr>
        <w:t>（签字）：</w:t>
      </w:r>
    </w:p>
    <w:p w14:paraId="286B9C5E">
      <w:pPr>
        <w:keepNext w:val="0"/>
        <w:keepLines w:val="0"/>
        <w:pageBreakBefore w:val="0"/>
        <w:widowControl w:val="0"/>
        <w:kinsoku/>
        <w:wordWrap/>
        <w:overflowPunct/>
        <w:topLinePunct w:val="0"/>
        <w:autoSpaceDE/>
        <w:autoSpaceDN/>
        <w:bidi w:val="0"/>
        <w:adjustRightInd w:val="0"/>
        <w:snapToGrid w:val="0"/>
        <w:spacing w:after="0" w:line="560" w:lineRule="exact"/>
        <w:ind w:firstLine="560" w:firstLineChars="200"/>
        <w:jc w:val="left"/>
        <w:rPr>
          <w:rFonts w:hint="eastAsia" w:ascii="仿宋" w:hAnsi="仿宋" w:eastAsia="仿宋" w:cs="仿宋"/>
          <w:sz w:val="28"/>
          <w:szCs w:val="28"/>
        </w:rPr>
      </w:pPr>
    </w:p>
    <w:p w14:paraId="7B9AD637">
      <w:pPr>
        <w:keepNext w:val="0"/>
        <w:keepLines w:val="0"/>
        <w:pageBreakBefore w:val="0"/>
        <w:widowControl w:val="0"/>
        <w:kinsoku/>
        <w:wordWrap/>
        <w:overflowPunct/>
        <w:topLinePunct w:val="0"/>
        <w:autoSpaceDE/>
        <w:autoSpaceDN/>
        <w:bidi w:val="0"/>
        <w:adjustRightInd w:val="0"/>
        <w:snapToGrid w:val="0"/>
        <w:spacing w:after="0"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年   月   日                           年   月   日</w:t>
      </w:r>
    </w:p>
    <w:p w14:paraId="6E363DE6">
      <w:pPr>
        <w:keepNext w:val="0"/>
        <w:keepLines w:val="0"/>
        <w:pageBreakBefore w:val="0"/>
        <w:widowControl w:val="0"/>
        <w:kinsoku/>
        <w:wordWrap/>
        <w:overflowPunct/>
        <w:topLinePunct w:val="0"/>
        <w:autoSpaceDE/>
        <w:autoSpaceDN/>
        <w:bidi w:val="0"/>
        <w:adjustRightInd w:val="0"/>
        <w:snapToGrid w:val="0"/>
        <w:spacing w:after="0" w:line="560" w:lineRule="exact"/>
        <w:ind w:firstLine="560" w:firstLineChars="200"/>
        <w:jc w:val="left"/>
        <w:textAlignment w:val="auto"/>
        <w:rPr>
          <w:rFonts w:hint="eastAsia" w:ascii="仿宋" w:hAnsi="仿宋" w:eastAsia="仿宋" w:cs="仿宋"/>
          <w:sz w:val="28"/>
          <w:szCs w:val="28"/>
          <w:lang w:val="en-US" w:eastAsia="zh-CN"/>
        </w:rPr>
      </w:pPr>
    </w:p>
    <w:p w14:paraId="5A2AFBA3">
      <w:pPr>
        <w:keepNext w:val="0"/>
        <w:keepLines w:val="0"/>
        <w:pageBreakBefore w:val="0"/>
        <w:kinsoku/>
        <w:wordWrap/>
        <w:overflowPunct/>
        <w:topLinePunct w:val="0"/>
        <w:autoSpaceDE/>
        <w:autoSpaceDN/>
        <w:bidi w:val="0"/>
        <w:spacing w:line="560" w:lineRule="exact"/>
        <w:rPr>
          <w:rFonts w:hint="eastAsia" w:ascii="仿宋" w:hAnsi="仿宋" w:eastAsia="仿宋" w:cs="仿宋"/>
          <w:sz w:val="28"/>
          <w:szCs w:val="28"/>
        </w:rPr>
      </w:pPr>
      <w:r>
        <w:rPr>
          <w:rFonts w:hint="eastAsia" w:ascii="仿宋" w:hAnsi="仿宋" w:eastAsia="仿宋" w:cs="仿宋"/>
          <w:sz w:val="28"/>
          <w:szCs w:val="28"/>
        </w:rPr>
        <w:br w:type="page"/>
      </w:r>
    </w:p>
    <w:p w14:paraId="66959D7C">
      <w:pPr>
        <w:keepNext w:val="0"/>
        <w:keepLines w:val="0"/>
        <w:pageBreakBefore w:val="0"/>
        <w:widowControl/>
        <w:kinsoku/>
        <w:wordWrap/>
        <w:overflowPunct/>
        <w:topLinePunct w:val="0"/>
        <w:autoSpaceDE/>
        <w:autoSpaceDN/>
        <w:bidi w:val="0"/>
        <w:spacing w:line="560" w:lineRule="exact"/>
        <w:jc w:val="left"/>
        <w:rPr>
          <w:rFonts w:hint="eastAsia" w:ascii="仿宋" w:hAnsi="仿宋" w:eastAsia="仿宋" w:cs="仿宋"/>
          <w:b/>
          <w:bCs/>
          <w:sz w:val="28"/>
          <w:szCs w:val="28"/>
        </w:rPr>
      </w:pPr>
      <w:r>
        <w:rPr>
          <w:rFonts w:hint="eastAsia" w:ascii="仿宋" w:hAnsi="仿宋" w:eastAsia="仿宋" w:cs="仿宋"/>
          <w:b/>
          <w:bCs/>
          <w:sz w:val="28"/>
          <w:szCs w:val="28"/>
        </w:rPr>
        <w:t>附件一：</w:t>
      </w:r>
      <w:r>
        <w:rPr>
          <w:rFonts w:hint="eastAsia" w:ascii="仿宋" w:hAnsi="仿宋" w:eastAsia="仿宋" w:cs="仿宋"/>
          <w:b/>
          <w:bCs/>
          <w:sz w:val="28"/>
          <w:szCs w:val="28"/>
          <w:lang w:val="en-US" w:eastAsia="zh-CN"/>
        </w:rPr>
        <w:t>北京师范大学教育集团</w:t>
      </w:r>
      <w:r>
        <w:rPr>
          <w:rFonts w:hint="eastAsia" w:ascii="仿宋" w:hAnsi="仿宋" w:eastAsia="仿宋" w:cs="仿宋"/>
          <w:b/>
          <w:bCs w:val="0"/>
          <w:kern w:val="0"/>
          <w:sz w:val="36"/>
          <w:szCs w:val="36"/>
          <w:lang w:val="en-US" w:eastAsia="zh-CN"/>
        </w:rPr>
        <w:t>【   】</w:t>
      </w:r>
      <w:r>
        <w:rPr>
          <w:rFonts w:hint="eastAsia" w:ascii="仿宋" w:hAnsi="仿宋" w:eastAsia="仿宋" w:cs="仿宋"/>
          <w:b/>
          <w:bCs/>
          <w:sz w:val="28"/>
          <w:szCs w:val="28"/>
        </w:rPr>
        <w:t>确认单</w:t>
      </w:r>
    </w:p>
    <w:p w14:paraId="5F3C3840">
      <w:pPr>
        <w:keepNext w:val="0"/>
        <w:keepLines w:val="0"/>
        <w:pageBreakBefore w:val="0"/>
        <w:numPr>
          <w:ilvl w:val="0"/>
          <w:numId w:val="17"/>
        </w:numPr>
        <w:kinsoku/>
        <w:wordWrap/>
        <w:overflowPunct/>
        <w:topLinePunct w:val="0"/>
        <w:autoSpaceDE/>
        <w:autoSpaceDN/>
        <w:bidi w:val="0"/>
        <w:spacing w:line="560" w:lineRule="exact"/>
        <w:jc w:val="left"/>
        <w:rPr>
          <w:rStyle w:val="165"/>
          <w:rFonts w:hint="eastAsia" w:ascii="仿宋" w:hAnsi="仿宋" w:eastAsia="仿宋" w:cs="仿宋"/>
          <w:b/>
          <w:sz w:val="28"/>
          <w:szCs w:val="28"/>
        </w:rPr>
      </w:pPr>
      <w:r>
        <w:rPr>
          <w:rStyle w:val="165"/>
          <w:rFonts w:hint="eastAsia" w:ascii="仿宋" w:hAnsi="仿宋" w:eastAsia="仿宋" w:cs="仿宋"/>
          <w:b/>
          <w:sz w:val="28"/>
          <w:szCs w:val="28"/>
        </w:rPr>
        <w:t>活动概况</w:t>
      </w:r>
    </w:p>
    <w:p w14:paraId="20EC8CC9">
      <w:pPr>
        <w:keepNext w:val="0"/>
        <w:keepLines w:val="0"/>
        <w:pageBreakBefore w:val="0"/>
        <w:numPr>
          <w:ilvl w:val="0"/>
          <w:numId w:val="18"/>
        </w:numPr>
        <w:kinsoku/>
        <w:wordWrap/>
        <w:overflowPunct/>
        <w:topLinePunct w:val="0"/>
        <w:autoSpaceDE/>
        <w:autoSpaceDN/>
        <w:bidi w:val="0"/>
        <w:spacing w:line="560" w:lineRule="exact"/>
        <w:jc w:val="left"/>
        <w:rPr>
          <w:rStyle w:val="165"/>
          <w:rFonts w:hint="eastAsia" w:ascii="仿宋" w:hAnsi="仿宋" w:eastAsia="仿宋" w:cs="仿宋"/>
          <w:sz w:val="28"/>
          <w:szCs w:val="28"/>
          <w:u w:val="single"/>
          <w:lang w:val="en-US" w:eastAsia="zh-CN"/>
        </w:rPr>
      </w:pPr>
      <w:r>
        <w:rPr>
          <w:rStyle w:val="165"/>
          <w:rFonts w:hint="eastAsia" w:ascii="仿宋" w:hAnsi="仿宋" w:eastAsia="仿宋" w:cs="仿宋"/>
          <w:sz w:val="28"/>
          <w:szCs w:val="28"/>
        </w:rPr>
        <w:t>活动名称：</w:t>
      </w:r>
      <w:r>
        <w:rPr>
          <w:rStyle w:val="165"/>
          <w:rFonts w:hint="eastAsia" w:ascii="仿宋" w:hAnsi="仿宋" w:eastAsia="仿宋" w:cs="仿宋"/>
          <w:sz w:val="28"/>
          <w:szCs w:val="28"/>
          <w:lang w:val="en-US" w:eastAsia="zh-CN"/>
        </w:rPr>
        <w:t xml:space="preserve">                   </w:t>
      </w:r>
    </w:p>
    <w:p w14:paraId="1F8F1A26">
      <w:pPr>
        <w:keepNext w:val="0"/>
        <w:keepLines w:val="0"/>
        <w:pageBreakBefore w:val="0"/>
        <w:numPr>
          <w:ilvl w:val="0"/>
          <w:numId w:val="18"/>
        </w:numPr>
        <w:kinsoku/>
        <w:wordWrap/>
        <w:overflowPunct/>
        <w:topLinePunct w:val="0"/>
        <w:autoSpaceDE/>
        <w:autoSpaceDN/>
        <w:bidi w:val="0"/>
        <w:spacing w:line="560" w:lineRule="exact"/>
        <w:jc w:val="left"/>
        <w:rPr>
          <w:rStyle w:val="165"/>
          <w:rFonts w:hint="eastAsia" w:ascii="仿宋" w:hAnsi="仿宋" w:eastAsia="仿宋" w:cs="仿宋"/>
          <w:sz w:val="28"/>
          <w:szCs w:val="28"/>
        </w:rPr>
      </w:pPr>
      <w:r>
        <w:rPr>
          <w:rFonts w:hint="eastAsia" w:ascii="仿宋" w:hAnsi="仿宋" w:eastAsia="仿宋" w:cs="仿宋"/>
          <w:color w:val="000000"/>
          <w:kern w:val="0"/>
          <w:sz w:val="28"/>
          <w:szCs w:val="28"/>
        </w:rPr>
        <w:t>活</w:t>
      </w:r>
      <w:r>
        <w:rPr>
          <w:rStyle w:val="165"/>
          <w:rFonts w:hint="eastAsia" w:ascii="仿宋" w:hAnsi="仿宋" w:eastAsia="仿宋" w:cs="仿宋"/>
          <w:sz w:val="28"/>
          <w:szCs w:val="28"/>
        </w:rPr>
        <w:t xml:space="preserve">动地点：                              </w:t>
      </w:r>
    </w:p>
    <w:p w14:paraId="1272FBED">
      <w:pPr>
        <w:keepNext w:val="0"/>
        <w:keepLines w:val="0"/>
        <w:pageBreakBefore w:val="0"/>
        <w:numPr>
          <w:ilvl w:val="0"/>
          <w:numId w:val="18"/>
        </w:numPr>
        <w:kinsoku/>
        <w:wordWrap/>
        <w:overflowPunct/>
        <w:topLinePunct w:val="0"/>
        <w:autoSpaceDE/>
        <w:autoSpaceDN/>
        <w:bidi w:val="0"/>
        <w:spacing w:line="560" w:lineRule="exact"/>
        <w:ind w:left="480" w:hanging="560" w:hangingChars="200"/>
        <w:jc w:val="left"/>
        <w:rPr>
          <w:rStyle w:val="165"/>
          <w:rFonts w:hint="eastAsia" w:ascii="仿宋" w:hAnsi="仿宋" w:eastAsia="仿宋" w:cs="仿宋"/>
          <w:sz w:val="28"/>
          <w:szCs w:val="28"/>
        </w:rPr>
      </w:pPr>
      <w:r>
        <w:rPr>
          <w:rStyle w:val="165"/>
          <w:rFonts w:hint="eastAsia" w:ascii="仿宋" w:hAnsi="仿宋" w:eastAsia="仿宋" w:cs="仿宋"/>
          <w:sz w:val="28"/>
          <w:szCs w:val="28"/>
        </w:rPr>
        <w:t>活动日期</w:t>
      </w:r>
      <w:r>
        <w:rPr>
          <w:rStyle w:val="165"/>
          <w:rFonts w:hint="eastAsia" w:ascii="仿宋" w:hAnsi="仿宋" w:eastAsia="仿宋" w:cs="仿宋"/>
          <w:sz w:val="28"/>
          <w:szCs w:val="28"/>
          <w:lang w:eastAsia="zh-CN"/>
        </w:rPr>
        <w:t>：</w:t>
      </w:r>
      <w:r>
        <w:rPr>
          <w:rStyle w:val="165"/>
          <w:rFonts w:hint="eastAsia" w:ascii="仿宋" w:hAnsi="仿宋" w:eastAsia="仿宋" w:cs="仿宋"/>
          <w:sz w:val="28"/>
          <w:szCs w:val="28"/>
          <w:lang w:val="en-US" w:eastAsia="zh-CN"/>
        </w:rPr>
        <w:t>本次活动时间为2026年7月18日-7月23日，为期6天。</w:t>
      </w:r>
      <w:r>
        <w:rPr>
          <w:rStyle w:val="165"/>
          <w:rFonts w:hint="eastAsia" w:ascii="仿宋" w:hAnsi="仿宋" w:eastAsia="仿宋" w:cs="仿宋"/>
          <w:sz w:val="28"/>
          <w:szCs w:val="28"/>
        </w:rPr>
        <w:t>行程中的在途时间包含在内。</w:t>
      </w:r>
    </w:p>
    <w:p w14:paraId="1B96A44C">
      <w:pPr>
        <w:keepNext w:val="0"/>
        <w:keepLines w:val="0"/>
        <w:pageBreakBefore w:val="0"/>
        <w:numPr>
          <w:ilvl w:val="0"/>
          <w:numId w:val="18"/>
        </w:numPr>
        <w:kinsoku/>
        <w:wordWrap/>
        <w:overflowPunct/>
        <w:topLinePunct w:val="0"/>
        <w:autoSpaceDE/>
        <w:autoSpaceDN/>
        <w:bidi w:val="0"/>
        <w:spacing w:line="560" w:lineRule="exact"/>
        <w:ind w:left="480" w:hanging="560" w:hangingChars="200"/>
        <w:jc w:val="left"/>
        <w:rPr>
          <w:rStyle w:val="165"/>
          <w:rFonts w:hint="eastAsia" w:ascii="仿宋" w:hAnsi="仿宋" w:eastAsia="仿宋" w:cs="仿宋"/>
          <w:sz w:val="28"/>
          <w:szCs w:val="28"/>
        </w:rPr>
      </w:pPr>
      <w:r>
        <w:rPr>
          <w:rStyle w:val="165"/>
          <w:rFonts w:hint="eastAsia" w:ascii="仿宋" w:hAnsi="仿宋" w:eastAsia="仿宋" w:cs="仿宋"/>
          <w:sz w:val="28"/>
          <w:szCs w:val="28"/>
        </w:rPr>
        <w:t>活动人数：</w:t>
      </w:r>
      <w:r>
        <w:rPr>
          <w:rStyle w:val="165"/>
          <w:rFonts w:hint="eastAsia" w:ascii="仿宋" w:hAnsi="仿宋" w:eastAsia="仿宋" w:cs="仿宋"/>
          <w:sz w:val="28"/>
          <w:szCs w:val="28"/>
          <w:lang w:val="en-US" w:eastAsia="zh-CN"/>
        </w:rPr>
        <w:t>校长和</w:t>
      </w:r>
      <w:r>
        <w:rPr>
          <w:rStyle w:val="165"/>
          <w:rFonts w:hint="eastAsia" w:ascii="仿宋" w:hAnsi="仿宋" w:eastAsia="仿宋" w:cs="仿宋"/>
          <w:sz w:val="28"/>
          <w:szCs w:val="28"/>
        </w:rPr>
        <w:t>老师</w:t>
      </w:r>
      <w:r>
        <w:rPr>
          <w:rStyle w:val="165"/>
          <w:rFonts w:hint="eastAsia" w:ascii="仿宋" w:hAnsi="仿宋" w:eastAsia="仿宋" w:cs="仿宋"/>
          <w:sz w:val="28"/>
          <w:szCs w:val="28"/>
          <w:lang w:val="en-US" w:eastAsia="zh-CN"/>
        </w:rPr>
        <w:t>总数共计140</w:t>
      </w:r>
      <w:r>
        <w:rPr>
          <w:rStyle w:val="165"/>
          <w:rFonts w:hint="eastAsia" w:ascii="仿宋" w:hAnsi="仿宋" w:eastAsia="仿宋" w:cs="仿宋"/>
          <w:sz w:val="28"/>
          <w:szCs w:val="28"/>
        </w:rPr>
        <w:t>人</w:t>
      </w:r>
      <w:r>
        <w:rPr>
          <w:rStyle w:val="165"/>
          <w:rFonts w:hint="eastAsia" w:ascii="仿宋" w:hAnsi="仿宋" w:eastAsia="仿宋" w:cs="仿宋"/>
          <w:sz w:val="28"/>
          <w:szCs w:val="28"/>
          <w:lang w:eastAsia="zh-CN"/>
        </w:rPr>
        <w:t>【</w:t>
      </w:r>
      <w:r>
        <w:rPr>
          <w:rStyle w:val="165"/>
          <w:rFonts w:hint="eastAsia" w:ascii="仿宋" w:hAnsi="仿宋" w:eastAsia="仿宋" w:cs="仿宋"/>
          <w:sz w:val="28"/>
          <w:szCs w:val="28"/>
          <w:lang w:val="en-US" w:eastAsia="zh-CN"/>
        </w:rPr>
        <w:t>以最终报名人数为准】</w:t>
      </w:r>
      <w:r>
        <w:rPr>
          <w:rStyle w:val="165"/>
          <w:rFonts w:hint="eastAsia" w:ascii="仿宋" w:hAnsi="仿宋" w:eastAsia="仿宋" w:cs="仿宋"/>
          <w:sz w:val="28"/>
          <w:szCs w:val="28"/>
        </w:rPr>
        <w:t>。</w:t>
      </w:r>
    </w:p>
    <w:p w14:paraId="52436CDA">
      <w:pPr>
        <w:keepNext w:val="0"/>
        <w:keepLines w:val="0"/>
        <w:pageBreakBefore w:val="0"/>
        <w:numPr>
          <w:ilvl w:val="0"/>
          <w:numId w:val="18"/>
        </w:numPr>
        <w:kinsoku/>
        <w:wordWrap/>
        <w:overflowPunct/>
        <w:topLinePunct w:val="0"/>
        <w:autoSpaceDE/>
        <w:autoSpaceDN/>
        <w:bidi w:val="0"/>
        <w:spacing w:line="560" w:lineRule="exact"/>
        <w:ind w:left="480" w:hanging="560" w:hangingChars="200"/>
        <w:jc w:val="left"/>
        <w:rPr>
          <w:rStyle w:val="165"/>
          <w:rFonts w:hint="eastAsia" w:ascii="仿宋" w:hAnsi="仿宋" w:eastAsia="仿宋" w:cs="仿宋"/>
          <w:sz w:val="28"/>
          <w:szCs w:val="28"/>
          <w:u w:val="single"/>
        </w:rPr>
      </w:pPr>
      <w:r>
        <w:rPr>
          <w:rStyle w:val="165"/>
          <w:rFonts w:hint="eastAsia" w:ascii="仿宋" w:hAnsi="仿宋" w:eastAsia="仿宋" w:cs="仿宋"/>
          <w:sz w:val="28"/>
          <w:szCs w:val="28"/>
        </w:rPr>
        <w:t>具体</w:t>
      </w:r>
      <w:r>
        <w:rPr>
          <w:rFonts w:hint="eastAsia" w:ascii="仿宋" w:hAnsi="仿宋" w:eastAsia="仿宋" w:cs="仿宋"/>
          <w:sz w:val="28"/>
          <w:szCs w:val="28"/>
        </w:rPr>
        <w:t>课程安排附件</w:t>
      </w:r>
      <w:r>
        <w:rPr>
          <w:rFonts w:hint="eastAsia" w:ascii="仿宋" w:hAnsi="仿宋" w:eastAsia="仿宋" w:cs="仿宋"/>
          <w:sz w:val="28"/>
          <w:szCs w:val="28"/>
          <w:lang w:val="en-US" w:eastAsia="zh-CN"/>
        </w:rPr>
        <w:t>三</w:t>
      </w:r>
      <w:r>
        <w:rPr>
          <w:rFonts w:hint="eastAsia" w:ascii="仿宋" w:hAnsi="仿宋" w:eastAsia="仿宋" w:cs="仿宋"/>
          <w:sz w:val="28"/>
          <w:szCs w:val="28"/>
        </w:rPr>
        <w:t>《</w:t>
      </w:r>
      <w:r>
        <w:rPr>
          <w:rFonts w:hint="eastAsia" w:ascii="仿宋" w:hAnsi="仿宋" w:eastAsia="仿宋" w:cs="仿宋"/>
          <w:sz w:val="28"/>
          <w:szCs w:val="28"/>
          <w:lang w:eastAsia="zh-CN"/>
        </w:rPr>
        <w:t>活动</w:t>
      </w:r>
      <w:r>
        <w:rPr>
          <w:rFonts w:hint="eastAsia" w:ascii="仿宋" w:hAnsi="仿宋" w:eastAsia="仿宋" w:cs="仿宋"/>
          <w:sz w:val="28"/>
          <w:szCs w:val="28"/>
        </w:rPr>
        <w:t xml:space="preserve">行程单》。   </w:t>
      </w:r>
    </w:p>
    <w:p w14:paraId="5CA366A9">
      <w:pPr>
        <w:keepNext w:val="0"/>
        <w:keepLines w:val="0"/>
        <w:pageBreakBefore w:val="0"/>
        <w:numPr>
          <w:ilvl w:val="0"/>
          <w:numId w:val="17"/>
        </w:numPr>
        <w:kinsoku/>
        <w:wordWrap/>
        <w:overflowPunct/>
        <w:topLinePunct w:val="0"/>
        <w:autoSpaceDE/>
        <w:autoSpaceDN/>
        <w:bidi w:val="0"/>
        <w:spacing w:line="560" w:lineRule="exact"/>
        <w:jc w:val="left"/>
        <w:rPr>
          <w:rStyle w:val="165"/>
          <w:rFonts w:hint="eastAsia" w:ascii="仿宋" w:hAnsi="仿宋" w:eastAsia="仿宋" w:cs="仿宋"/>
          <w:b/>
          <w:sz w:val="28"/>
          <w:szCs w:val="28"/>
        </w:rPr>
      </w:pPr>
      <w:r>
        <w:rPr>
          <w:rStyle w:val="165"/>
          <w:rFonts w:hint="eastAsia" w:ascii="仿宋" w:hAnsi="仿宋" w:eastAsia="仿宋" w:cs="仿宋"/>
          <w:b/>
          <w:sz w:val="28"/>
          <w:szCs w:val="28"/>
        </w:rPr>
        <w:t>费用标准及支付约定</w:t>
      </w:r>
    </w:p>
    <w:p w14:paraId="62D5E31B">
      <w:pPr>
        <w:keepNext w:val="0"/>
        <w:keepLines w:val="0"/>
        <w:pageBreakBefore w:val="0"/>
        <w:numPr>
          <w:ilvl w:val="0"/>
          <w:numId w:val="18"/>
        </w:numPr>
        <w:kinsoku/>
        <w:wordWrap/>
        <w:overflowPunct/>
        <w:topLinePunct w:val="0"/>
        <w:autoSpaceDE/>
        <w:autoSpaceDN/>
        <w:bidi w:val="0"/>
        <w:spacing w:line="560" w:lineRule="exact"/>
        <w:ind w:left="480" w:hanging="560" w:hangingChars="200"/>
        <w:jc w:val="left"/>
        <w:rPr>
          <w:rStyle w:val="165"/>
          <w:rFonts w:hint="eastAsia" w:ascii="仿宋" w:hAnsi="仿宋" w:eastAsia="仿宋" w:cs="仿宋"/>
          <w:sz w:val="28"/>
          <w:szCs w:val="28"/>
        </w:rPr>
      </w:pPr>
      <w:r>
        <w:rPr>
          <w:rStyle w:val="165"/>
          <w:rFonts w:hint="eastAsia" w:ascii="仿宋" w:hAnsi="仿宋" w:eastAsia="仿宋" w:cs="仿宋"/>
          <w:sz w:val="28"/>
          <w:szCs w:val="28"/>
        </w:rPr>
        <w:t>费用共计￥</w:t>
      </w:r>
      <w:r>
        <w:rPr>
          <w:rStyle w:val="165"/>
          <w:rFonts w:hint="eastAsia" w:ascii="仿宋" w:hAnsi="仿宋" w:eastAsia="仿宋" w:cs="仿宋"/>
          <w:sz w:val="28"/>
          <w:szCs w:val="28"/>
          <w:u w:val="single"/>
          <w:lang w:val="en-US" w:eastAsia="zh-CN"/>
        </w:rPr>
        <w:t xml:space="preserve">       </w:t>
      </w:r>
      <w:r>
        <w:rPr>
          <w:rStyle w:val="165"/>
          <w:rFonts w:hint="eastAsia" w:ascii="仿宋" w:hAnsi="仿宋" w:eastAsia="仿宋" w:cs="仿宋"/>
          <w:sz w:val="28"/>
          <w:szCs w:val="28"/>
        </w:rPr>
        <w:t>元，人民币（大写）</w:t>
      </w:r>
      <w:r>
        <w:rPr>
          <w:rStyle w:val="165"/>
          <w:rFonts w:hint="eastAsia" w:ascii="仿宋" w:hAnsi="仿宋" w:eastAsia="仿宋" w:cs="仿宋"/>
          <w:sz w:val="28"/>
          <w:szCs w:val="28"/>
          <w:lang w:eastAsia="zh-CN"/>
        </w:rPr>
        <w:t>：</w:t>
      </w:r>
      <w:r>
        <w:rPr>
          <w:rStyle w:val="165"/>
          <w:rFonts w:hint="eastAsia" w:ascii="仿宋" w:hAnsi="仿宋" w:eastAsia="仿宋" w:cs="仿宋"/>
          <w:sz w:val="28"/>
          <w:szCs w:val="28"/>
          <w:lang w:val="en-US" w:eastAsia="zh-CN"/>
        </w:rPr>
        <w:t xml:space="preserve"> </w:t>
      </w:r>
    </w:p>
    <w:p w14:paraId="22E5015B">
      <w:pPr>
        <w:keepNext w:val="0"/>
        <w:keepLines w:val="0"/>
        <w:pageBreakBefore w:val="0"/>
        <w:numPr>
          <w:ilvl w:val="0"/>
          <w:numId w:val="18"/>
        </w:numPr>
        <w:kinsoku/>
        <w:wordWrap/>
        <w:overflowPunct/>
        <w:topLinePunct w:val="0"/>
        <w:autoSpaceDE/>
        <w:autoSpaceDN/>
        <w:bidi w:val="0"/>
        <w:spacing w:line="560" w:lineRule="exact"/>
        <w:ind w:left="480" w:hanging="560" w:hangingChars="200"/>
        <w:jc w:val="left"/>
        <w:rPr>
          <w:rStyle w:val="165"/>
          <w:rFonts w:hint="eastAsia" w:ascii="仿宋" w:hAnsi="仿宋" w:eastAsia="仿宋" w:cs="仿宋"/>
          <w:sz w:val="28"/>
          <w:szCs w:val="28"/>
        </w:rPr>
      </w:pPr>
      <w:r>
        <w:rPr>
          <w:rStyle w:val="165"/>
          <w:rFonts w:hint="eastAsia" w:ascii="仿宋" w:hAnsi="仿宋" w:eastAsia="仿宋" w:cs="仿宋"/>
          <w:sz w:val="28"/>
          <w:szCs w:val="28"/>
        </w:rPr>
        <w:t>双方按实际参加人数据实结算；费用明细详见附件二《费用明细表》</w:t>
      </w:r>
      <w:r>
        <w:rPr>
          <w:rStyle w:val="165"/>
          <w:rFonts w:hint="eastAsia" w:ascii="仿宋" w:hAnsi="仿宋" w:eastAsia="仿宋" w:cs="仿宋"/>
          <w:sz w:val="28"/>
          <w:szCs w:val="28"/>
          <w:lang w:eastAsia="zh-CN"/>
        </w:rPr>
        <w:t>，</w:t>
      </w:r>
      <w:r>
        <w:rPr>
          <w:rStyle w:val="165"/>
          <w:rFonts w:hint="eastAsia" w:ascii="仿宋" w:hAnsi="仿宋" w:eastAsia="仿宋" w:cs="仿宋"/>
          <w:sz w:val="28"/>
          <w:szCs w:val="28"/>
          <w:lang w:val="en-US" w:eastAsia="zh-CN"/>
        </w:rPr>
        <w:t>但乙方知悉并并同意本合同项下费用最高额不得超过人民币￥            （大写：      ），超出部分乙方自行负担。</w:t>
      </w:r>
    </w:p>
    <w:p w14:paraId="2132225A">
      <w:pPr>
        <w:keepNext w:val="0"/>
        <w:keepLines w:val="0"/>
        <w:pageBreakBefore w:val="0"/>
        <w:numPr>
          <w:ilvl w:val="0"/>
          <w:numId w:val="18"/>
        </w:numPr>
        <w:kinsoku/>
        <w:wordWrap/>
        <w:overflowPunct/>
        <w:topLinePunct w:val="0"/>
        <w:autoSpaceDE/>
        <w:autoSpaceDN/>
        <w:bidi w:val="0"/>
        <w:spacing w:line="560" w:lineRule="exact"/>
        <w:ind w:left="480" w:hanging="560" w:hangingChars="200"/>
        <w:jc w:val="left"/>
        <w:rPr>
          <w:rStyle w:val="165"/>
          <w:rFonts w:hint="eastAsia" w:ascii="仿宋" w:hAnsi="仿宋" w:eastAsia="仿宋" w:cs="仿宋"/>
          <w:sz w:val="28"/>
          <w:szCs w:val="28"/>
        </w:rPr>
      </w:pPr>
      <w:r>
        <w:rPr>
          <w:rStyle w:val="165"/>
          <w:rFonts w:hint="eastAsia" w:ascii="仿宋" w:hAnsi="仿宋" w:eastAsia="仿宋" w:cs="仿宋"/>
          <w:sz w:val="28"/>
          <w:szCs w:val="28"/>
        </w:rPr>
        <w:t>甲方可采用支票或对公汇款方式支付活动款项。乙方指定收款账户信息如下：</w:t>
      </w:r>
    </w:p>
    <w:p w14:paraId="5008F3D4">
      <w:pPr>
        <w:pStyle w:val="24"/>
        <w:keepNext w:val="0"/>
        <w:keepLines w:val="0"/>
        <w:pageBreakBefore w:val="0"/>
        <w:widowControl w:val="0"/>
        <w:tabs>
          <w:tab w:val="center" w:pos="4153"/>
          <w:tab w:val="right" w:pos="8306"/>
          <w:tab w:val="clear" w:pos="4680"/>
          <w:tab w:val="clear" w:pos="9360"/>
        </w:tabs>
        <w:kinsoku/>
        <w:wordWrap/>
        <w:overflowPunct/>
        <w:topLinePunct w:val="0"/>
        <w:autoSpaceDE/>
        <w:autoSpaceDN/>
        <w:bidi w:val="0"/>
        <w:adjustRightInd/>
        <w:snapToGrid w:val="0"/>
        <w:spacing w:line="560" w:lineRule="exact"/>
        <w:ind w:firstLine="560" w:firstLineChars="200"/>
        <w:textAlignment w:val="auto"/>
        <w:rPr>
          <w:rStyle w:val="165"/>
          <w:rFonts w:hint="eastAsia" w:ascii="仿宋" w:hAnsi="仿宋" w:eastAsia="仿宋" w:cs="仿宋"/>
          <w:sz w:val="28"/>
          <w:szCs w:val="28"/>
        </w:rPr>
      </w:pPr>
      <w:r>
        <w:rPr>
          <w:rStyle w:val="165"/>
          <w:rFonts w:hint="eastAsia" w:ascii="仿宋" w:hAnsi="仿宋" w:eastAsia="仿宋" w:cs="仿宋"/>
          <w:sz w:val="28"/>
          <w:szCs w:val="28"/>
        </w:rPr>
        <w:t>名称：</w:t>
      </w:r>
    </w:p>
    <w:p w14:paraId="0C0B1CB4">
      <w:pPr>
        <w:pStyle w:val="24"/>
        <w:keepNext w:val="0"/>
        <w:keepLines w:val="0"/>
        <w:pageBreakBefore w:val="0"/>
        <w:widowControl w:val="0"/>
        <w:tabs>
          <w:tab w:val="center" w:pos="4153"/>
          <w:tab w:val="right" w:pos="8306"/>
          <w:tab w:val="clear" w:pos="4680"/>
          <w:tab w:val="clear" w:pos="9360"/>
        </w:tabs>
        <w:kinsoku/>
        <w:wordWrap/>
        <w:overflowPunct/>
        <w:topLinePunct w:val="0"/>
        <w:autoSpaceDE/>
        <w:autoSpaceDN/>
        <w:bidi w:val="0"/>
        <w:adjustRightInd/>
        <w:snapToGrid w:val="0"/>
        <w:spacing w:line="560" w:lineRule="exact"/>
        <w:ind w:firstLine="560" w:firstLineChars="200"/>
        <w:textAlignment w:val="auto"/>
        <w:rPr>
          <w:rStyle w:val="165"/>
          <w:rFonts w:hint="eastAsia" w:ascii="仿宋" w:hAnsi="仿宋" w:eastAsia="仿宋" w:cs="仿宋"/>
          <w:sz w:val="28"/>
          <w:szCs w:val="28"/>
        </w:rPr>
      </w:pPr>
      <w:r>
        <w:rPr>
          <w:rStyle w:val="165"/>
          <w:rFonts w:hint="eastAsia" w:ascii="仿宋" w:hAnsi="仿宋" w:eastAsia="仿宋" w:cs="仿宋"/>
          <w:sz w:val="28"/>
          <w:szCs w:val="28"/>
        </w:rPr>
        <w:t>开户银行：</w:t>
      </w:r>
    </w:p>
    <w:p w14:paraId="38DC8F8C">
      <w:pPr>
        <w:pStyle w:val="24"/>
        <w:keepNext w:val="0"/>
        <w:keepLines w:val="0"/>
        <w:pageBreakBefore w:val="0"/>
        <w:widowControl w:val="0"/>
        <w:tabs>
          <w:tab w:val="center" w:pos="4153"/>
          <w:tab w:val="right" w:pos="8306"/>
          <w:tab w:val="clear" w:pos="4680"/>
          <w:tab w:val="clear" w:pos="9360"/>
        </w:tabs>
        <w:kinsoku/>
        <w:wordWrap/>
        <w:overflowPunct/>
        <w:topLinePunct w:val="0"/>
        <w:autoSpaceDE/>
        <w:autoSpaceDN/>
        <w:bidi w:val="0"/>
        <w:adjustRightInd/>
        <w:snapToGrid w:val="0"/>
        <w:spacing w:line="560" w:lineRule="exact"/>
        <w:ind w:firstLine="560" w:firstLineChars="200"/>
        <w:textAlignment w:val="auto"/>
        <w:rPr>
          <w:rStyle w:val="165"/>
          <w:rFonts w:hint="eastAsia" w:ascii="仿宋" w:hAnsi="仿宋" w:eastAsia="仿宋" w:cs="仿宋"/>
          <w:sz w:val="28"/>
          <w:szCs w:val="28"/>
        </w:rPr>
      </w:pPr>
      <w:r>
        <w:rPr>
          <w:rStyle w:val="165"/>
          <w:rFonts w:hint="eastAsia" w:ascii="仿宋" w:hAnsi="仿宋" w:eastAsia="仿宋" w:cs="仿宋"/>
          <w:sz w:val="28"/>
          <w:szCs w:val="28"/>
        </w:rPr>
        <w:t>银行账户：</w:t>
      </w:r>
    </w:p>
    <w:p w14:paraId="1745B1B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bCs/>
          <w:spacing w:val="-11"/>
          <w:sz w:val="28"/>
          <w:szCs w:val="28"/>
          <w:lang w:val="en-US" w:eastAsia="zh-CN"/>
        </w:rPr>
      </w:pPr>
      <w:r>
        <w:rPr>
          <w:rFonts w:hint="eastAsia" w:ascii="仿宋" w:hAnsi="仿宋" w:eastAsia="仿宋" w:cs="仿宋"/>
          <w:b/>
          <w:bCs/>
          <w:sz w:val="28"/>
          <w:szCs w:val="28"/>
          <w:lang w:val="en-US" w:eastAsia="zh-CN"/>
        </w:rPr>
        <w:br w:type="page"/>
      </w:r>
      <w:r>
        <w:rPr>
          <w:rFonts w:hint="eastAsia" w:ascii="仿宋" w:hAnsi="仿宋" w:eastAsia="仿宋" w:cs="仿宋"/>
          <w:b/>
          <w:bCs/>
          <w:sz w:val="28"/>
          <w:szCs w:val="28"/>
          <w:lang w:val="en-US" w:eastAsia="zh-CN"/>
        </w:rPr>
        <w:t>附件二：</w:t>
      </w:r>
      <w:r>
        <w:rPr>
          <w:rFonts w:hint="eastAsia" w:ascii="仿宋" w:hAnsi="仿宋" w:eastAsia="仿宋" w:cs="仿宋"/>
          <w:b/>
          <w:bCs/>
          <w:spacing w:val="-11"/>
          <w:sz w:val="28"/>
          <w:szCs w:val="28"/>
        </w:rPr>
        <w:t>北京师范大学教育集团</w:t>
      </w:r>
      <w:r>
        <w:rPr>
          <w:rFonts w:hint="eastAsia" w:ascii="仿宋" w:hAnsi="仿宋" w:eastAsia="仿宋" w:cs="仿宋"/>
          <w:b/>
          <w:bCs w:val="0"/>
          <w:kern w:val="0"/>
          <w:sz w:val="36"/>
          <w:szCs w:val="36"/>
          <w:lang w:val="en-US" w:eastAsia="zh-CN"/>
        </w:rPr>
        <w:t>【   】</w:t>
      </w:r>
      <w:r>
        <w:rPr>
          <w:rFonts w:hint="eastAsia" w:ascii="仿宋" w:hAnsi="仿宋" w:eastAsia="仿宋" w:cs="仿宋"/>
          <w:b/>
          <w:bCs/>
          <w:spacing w:val="-11"/>
          <w:sz w:val="28"/>
          <w:szCs w:val="28"/>
          <w:lang w:val="en-US" w:eastAsia="zh-CN"/>
        </w:rPr>
        <w:t>费用明细表</w:t>
      </w:r>
    </w:p>
    <w:tbl>
      <w:tblPr>
        <w:tblStyle w:val="34"/>
        <w:tblpPr w:leftFromText="180" w:rightFromText="180" w:vertAnchor="text" w:horzAnchor="page" w:tblpX="693" w:tblpY="748"/>
        <w:tblOverlap w:val="never"/>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184"/>
        <w:gridCol w:w="1716"/>
        <w:gridCol w:w="893"/>
        <w:gridCol w:w="882"/>
        <w:gridCol w:w="887"/>
        <w:gridCol w:w="1204"/>
        <w:gridCol w:w="1786"/>
      </w:tblGrid>
      <w:tr w14:paraId="6FAB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799" w:type="dxa"/>
            <w:vAlign w:val="center"/>
          </w:tcPr>
          <w:p w14:paraId="1BF14BE7">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仿宋" w:hAnsi="仿宋" w:eastAsia="仿宋" w:cs="仿宋"/>
                <w:b/>
                <w:bCs/>
                <w:sz w:val="28"/>
                <w:szCs w:val="28"/>
                <w:vertAlign w:val="baseline"/>
                <w:lang w:val="en-US" w:eastAsia="zh-CN"/>
              </w:rPr>
            </w:pPr>
            <w:r>
              <w:rPr>
                <w:rFonts w:hint="eastAsia" w:ascii="仿宋" w:hAnsi="仿宋" w:eastAsia="仿宋" w:cs="仿宋"/>
                <w:b/>
                <w:bCs/>
                <w:i w:val="0"/>
                <w:iCs w:val="0"/>
                <w:color w:val="000000"/>
                <w:kern w:val="0"/>
                <w:sz w:val="28"/>
                <w:szCs w:val="28"/>
                <w:u w:val="none"/>
                <w:lang w:val="en-US" w:eastAsia="zh-CN" w:bidi="ar"/>
              </w:rPr>
              <w:t>序号</w:t>
            </w:r>
          </w:p>
        </w:tc>
        <w:tc>
          <w:tcPr>
            <w:tcW w:w="1184" w:type="dxa"/>
            <w:vAlign w:val="center"/>
          </w:tcPr>
          <w:p w14:paraId="29355A70">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类目</w:t>
            </w:r>
          </w:p>
        </w:tc>
        <w:tc>
          <w:tcPr>
            <w:tcW w:w="1716" w:type="dxa"/>
            <w:vAlign w:val="center"/>
          </w:tcPr>
          <w:p w14:paraId="637F9BD8">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仿宋" w:hAnsi="仿宋" w:eastAsia="仿宋" w:cs="仿宋"/>
                <w:b/>
                <w:bCs/>
                <w:sz w:val="28"/>
                <w:szCs w:val="28"/>
                <w:vertAlign w:val="baseline"/>
                <w:lang w:val="en-US" w:eastAsia="zh-CN"/>
              </w:rPr>
            </w:pPr>
            <w:r>
              <w:rPr>
                <w:rFonts w:hint="eastAsia" w:ascii="仿宋" w:hAnsi="仿宋" w:eastAsia="仿宋" w:cs="仿宋"/>
                <w:b/>
                <w:bCs/>
                <w:i w:val="0"/>
                <w:iCs w:val="0"/>
                <w:color w:val="000000"/>
                <w:kern w:val="0"/>
                <w:sz w:val="28"/>
                <w:szCs w:val="28"/>
                <w:u w:val="none"/>
                <w:lang w:val="en-US" w:eastAsia="zh-CN" w:bidi="ar"/>
              </w:rPr>
              <w:t>详情</w:t>
            </w:r>
          </w:p>
        </w:tc>
        <w:tc>
          <w:tcPr>
            <w:tcW w:w="893" w:type="dxa"/>
            <w:vAlign w:val="center"/>
          </w:tcPr>
          <w:p w14:paraId="0E93FA19">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仿宋" w:hAnsi="仿宋" w:eastAsia="仿宋" w:cs="仿宋"/>
                <w:b/>
                <w:bCs/>
                <w:sz w:val="28"/>
                <w:szCs w:val="28"/>
                <w:vertAlign w:val="baseline"/>
                <w:lang w:val="en-US" w:eastAsia="zh-CN"/>
              </w:rPr>
            </w:pPr>
            <w:r>
              <w:rPr>
                <w:rFonts w:hint="eastAsia" w:ascii="仿宋" w:hAnsi="仿宋" w:eastAsia="仿宋" w:cs="仿宋"/>
                <w:b/>
                <w:bCs/>
                <w:i w:val="0"/>
                <w:iCs w:val="0"/>
                <w:color w:val="000000"/>
                <w:kern w:val="0"/>
                <w:sz w:val="28"/>
                <w:szCs w:val="28"/>
                <w:u w:val="none"/>
                <w:lang w:val="en-US" w:eastAsia="zh-CN" w:bidi="ar"/>
              </w:rPr>
              <w:t>单价</w:t>
            </w:r>
          </w:p>
        </w:tc>
        <w:tc>
          <w:tcPr>
            <w:tcW w:w="882" w:type="dxa"/>
            <w:vAlign w:val="center"/>
          </w:tcPr>
          <w:p w14:paraId="22B48CDD">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单位</w:t>
            </w:r>
          </w:p>
        </w:tc>
        <w:tc>
          <w:tcPr>
            <w:tcW w:w="887" w:type="dxa"/>
            <w:vAlign w:val="center"/>
          </w:tcPr>
          <w:p w14:paraId="17659EFB">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数量</w:t>
            </w:r>
          </w:p>
        </w:tc>
        <w:tc>
          <w:tcPr>
            <w:tcW w:w="1204" w:type="dxa"/>
            <w:vAlign w:val="center"/>
          </w:tcPr>
          <w:p w14:paraId="0C4DE5EF">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小计</w:t>
            </w:r>
          </w:p>
        </w:tc>
        <w:tc>
          <w:tcPr>
            <w:tcW w:w="1786" w:type="dxa"/>
            <w:vAlign w:val="center"/>
          </w:tcPr>
          <w:p w14:paraId="40F16214">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仿宋" w:hAnsi="仿宋" w:eastAsia="仿宋" w:cs="仿宋"/>
                <w:b/>
                <w:bCs/>
                <w:sz w:val="28"/>
                <w:szCs w:val="28"/>
                <w:vertAlign w:val="baseline"/>
                <w:lang w:val="en-US" w:eastAsia="zh-CN"/>
              </w:rPr>
            </w:pPr>
            <w:r>
              <w:rPr>
                <w:rFonts w:hint="eastAsia" w:ascii="仿宋" w:hAnsi="仿宋" w:eastAsia="仿宋" w:cs="仿宋"/>
                <w:b/>
                <w:bCs/>
                <w:i w:val="0"/>
                <w:iCs w:val="0"/>
                <w:color w:val="000000"/>
                <w:kern w:val="0"/>
                <w:sz w:val="28"/>
                <w:szCs w:val="28"/>
                <w:u w:val="none"/>
                <w:lang w:val="en-US" w:eastAsia="zh-CN" w:bidi="ar"/>
              </w:rPr>
              <w:t>备注</w:t>
            </w:r>
          </w:p>
        </w:tc>
      </w:tr>
      <w:tr w14:paraId="7831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9" w:type="dxa"/>
            <w:vAlign w:val="center"/>
          </w:tcPr>
          <w:p w14:paraId="19639B0B">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仿宋" w:hAnsi="仿宋" w:eastAsia="仿宋" w:cs="仿宋"/>
                <w:b/>
                <w:bCs/>
                <w:sz w:val="28"/>
                <w:szCs w:val="28"/>
                <w:vertAlign w:val="baseline"/>
                <w:lang w:val="en-US" w:eastAsia="zh-CN"/>
              </w:rPr>
            </w:pPr>
            <w:r>
              <w:rPr>
                <w:rFonts w:hint="eastAsia" w:ascii="仿宋" w:hAnsi="仿宋" w:eastAsia="仿宋" w:cs="仿宋"/>
                <w:b/>
                <w:bCs/>
                <w:i w:val="0"/>
                <w:iCs w:val="0"/>
                <w:color w:val="000000"/>
                <w:kern w:val="0"/>
                <w:sz w:val="28"/>
                <w:szCs w:val="28"/>
                <w:u w:val="none"/>
                <w:lang w:val="en-US" w:eastAsia="zh-CN" w:bidi="ar"/>
              </w:rPr>
              <w:t>1</w:t>
            </w:r>
          </w:p>
        </w:tc>
        <w:tc>
          <w:tcPr>
            <w:tcW w:w="1184" w:type="dxa"/>
            <w:vMerge w:val="restart"/>
            <w:vAlign w:val="center"/>
          </w:tcPr>
          <w:p w14:paraId="7D36F070">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车费</w:t>
            </w:r>
          </w:p>
        </w:tc>
        <w:tc>
          <w:tcPr>
            <w:tcW w:w="1716" w:type="dxa"/>
            <w:vAlign w:val="center"/>
          </w:tcPr>
          <w:p w14:paraId="277F2C40">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仿宋" w:hAnsi="仿宋" w:eastAsia="仿宋" w:cs="仿宋"/>
                <w:b w:val="0"/>
                <w:bCs w:val="0"/>
                <w:sz w:val="28"/>
                <w:szCs w:val="28"/>
                <w:vertAlign w:val="baseline"/>
                <w:lang w:val="en-US" w:eastAsia="zh-CN"/>
              </w:rPr>
            </w:pPr>
          </w:p>
        </w:tc>
        <w:tc>
          <w:tcPr>
            <w:tcW w:w="893" w:type="dxa"/>
            <w:vAlign w:val="center"/>
          </w:tcPr>
          <w:p w14:paraId="2C3A82B4">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仿宋" w:hAnsi="仿宋" w:eastAsia="仿宋" w:cs="仿宋"/>
                <w:b/>
                <w:bCs/>
                <w:sz w:val="28"/>
                <w:szCs w:val="28"/>
                <w:vertAlign w:val="baseline"/>
                <w:lang w:val="en-US" w:eastAsia="zh-CN"/>
              </w:rPr>
            </w:pPr>
          </w:p>
        </w:tc>
        <w:tc>
          <w:tcPr>
            <w:tcW w:w="882" w:type="dxa"/>
            <w:vAlign w:val="center"/>
          </w:tcPr>
          <w:p w14:paraId="774C4599">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i w:val="0"/>
                <w:iCs w:val="0"/>
                <w:color w:val="000000"/>
                <w:kern w:val="0"/>
                <w:sz w:val="28"/>
                <w:szCs w:val="28"/>
                <w:u w:val="none"/>
                <w:lang w:val="en-US" w:eastAsia="zh-CN" w:bidi="ar"/>
              </w:rPr>
            </w:pPr>
          </w:p>
        </w:tc>
        <w:tc>
          <w:tcPr>
            <w:tcW w:w="887" w:type="dxa"/>
            <w:vAlign w:val="center"/>
          </w:tcPr>
          <w:p w14:paraId="1B459E27">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i w:val="0"/>
                <w:iCs w:val="0"/>
                <w:color w:val="000000"/>
                <w:kern w:val="0"/>
                <w:sz w:val="28"/>
                <w:szCs w:val="28"/>
                <w:u w:val="none"/>
                <w:lang w:val="en-US" w:eastAsia="zh-CN" w:bidi="ar"/>
              </w:rPr>
            </w:pPr>
          </w:p>
        </w:tc>
        <w:tc>
          <w:tcPr>
            <w:tcW w:w="1204" w:type="dxa"/>
            <w:vAlign w:val="center"/>
          </w:tcPr>
          <w:p w14:paraId="5F10B60F">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i w:val="0"/>
                <w:iCs w:val="0"/>
                <w:color w:val="000000"/>
                <w:kern w:val="0"/>
                <w:sz w:val="28"/>
                <w:szCs w:val="28"/>
                <w:u w:val="none"/>
                <w:lang w:val="en-US" w:eastAsia="zh-CN" w:bidi="ar"/>
              </w:rPr>
            </w:pPr>
          </w:p>
        </w:tc>
        <w:tc>
          <w:tcPr>
            <w:tcW w:w="1786" w:type="dxa"/>
            <w:vAlign w:val="center"/>
          </w:tcPr>
          <w:p w14:paraId="3745BF3C">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b/>
                <w:bCs/>
                <w:sz w:val="28"/>
                <w:szCs w:val="28"/>
                <w:vertAlign w:val="baseline"/>
                <w:lang w:val="en-US" w:eastAsia="zh-CN"/>
              </w:rPr>
            </w:pPr>
          </w:p>
        </w:tc>
      </w:tr>
      <w:tr w14:paraId="0D1A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9" w:type="dxa"/>
            <w:shd w:val="clear" w:color="auto" w:fill="auto"/>
            <w:vAlign w:val="center"/>
          </w:tcPr>
          <w:p w14:paraId="3A7B3ADF">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2</w:t>
            </w:r>
          </w:p>
        </w:tc>
        <w:tc>
          <w:tcPr>
            <w:tcW w:w="1184" w:type="dxa"/>
            <w:vMerge w:val="restart"/>
            <w:vAlign w:val="center"/>
          </w:tcPr>
          <w:p w14:paraId="54A1497A">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研修指导师</w:t>
            </w:r>
          </w:p>
        </w:tc>
        <w:tc>
          <w:tcPr>
            <w:tcW w:w="1716" w:type="dxa"/>
            <w:vAlign w:val="center"/>
          </w:tcPr>
          <w:p w14:paraId="6AC07451">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b w:val="0"/>
                <w:bCs w:val="0"/>
                <w:i w:val="0"/>
                <w:iCs w:val="0"/>
                <w:color w:val="000000"/>
                <w:kern w:val="0"/>
                <w:sz w:val="28"/>
                <w:szCs w:val="28"/>
                <w:u w:val="none"/>
                <w:lang w:val="en-US" w:eastAsia="zh-CN" w:bidi="ar"/>
              </w:rPr>
            </w:pPr>
          </w:p>
        </w:tc>
        <w:tc>
          <w:tcPr>
            <w:tcW w:w="893" w:type="dxa"/>
            <w:vAlign w:val="center"/>
          </w:tcPr>
          <w:p w14:paraId="54E44DFC">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i w:val="0"/>
                <w:iCs w:val="0"/>
                <w:color w:val="000000"/>
                <w:kern w:val="0"/>
                <w:sz w:val="28"/>
                <w:szCs w:val="28"/>
                <w:u w:val="none"/>
                <w:lang w:val="en-US" w:eastAsia="zh-CN" w:bidi="ar"/>
              </w:rPr>
            </w:pPr>
          </w:p>
        </w:tc>
        <w:tc>
          <w:tcPr>
            <w:tcW w:w="882" w:type="dxa"/>
            <w:vAlign w:val="center"/>
          </w:tcPr>
          <w:p w14:paraId="26EB70F5">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i w:val="0"/>
                <w:iCs w:val="0"/>
                <w:color w:val="000000"/>
                <w:kern w:val="0"/>
                <w:sz w:val="28"/>
                <w:szCs w:val="28"/>
                <w:u w:val="none"/>
                <w:lang w:val="en-US" w:eastAsia="zh-CN" w:bidi="ar"/>
              </w:rPr>
            </w:pPr>
          </w:p>
        </w:tc>
        <w:tc>
          <w:tcPr>
            <w:tcW w:w="887" w:type="dxa"/>
            <w:vAlign w:val="center"/>
          </w:tcPr>
          <w:p w14:paraId="128B0E70">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204" w:type="dxa"/>
            <w:vAlign w:val="center"/>
          </w:tcPr>
          <w:p w14:paraId="52698FFA">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i w:val="0"/>
                <w:iCs w:val="0"/>
                <w:color w:val="000000"/>
                <w:kern w:val="0"/>
                <w:sz w:val="28"/>
                <w:szCs w:val="28"/>
                <w:u w:val="none"/>
                <w:lang w:val="en-US" w:eastAsia="zh-CN" w:bidi="ar"/>
              </w:rPr>
            </w:pPr>
          </w:p>
        </w:tc>
        <w:tc>
          <w:tcPr>
            <w:tcW w:w="1786" w:type="dxa"/>
            <w:vAlign w:val="center"/>
          </w:tcPr>
          <w:p w14:paraId="10698722">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p>
        </w:tc>
      </w:tr>
      <w:tr w14:paraId="416A4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9" w:type="dxa"/>
            <w:shd w:val="clear" w:color="auto" w:fill="auto"/>
            <w:vAlign w:val="center"/>
          </w:tcPr>
          <w:p w14:paraId="3684BAF1">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6</w:t>
            </w:r>
          </w:p>
        </w:tc>
        <w:tc>
          <w:tcPr>
            <w:tcW w:w="1184" w:type="dxa"/>
            <w:vAlign w:val="center"/>
          </w:tcPr>
          <w:p w14:paraId="1B387030">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课程费用</w:t>
            </w:r>
          </w:p>
        </w:tc>
        <w:tc>
          <w:tcPr>
            <w:tcW w:w="1716" w:type="dxa"/>
            <w:vAlign w:val="center"/>
          </w:tcPr>
          <w:p w14:paraId="07FAD317">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仿宋" w:hAnsi="仿宋" w:eastAsia="仿宋" w:cs="仿宋"/>
                <w:b w:val="0"/>
                <w:bCs w:val="0"/>
                <w:sz w:val="28"/>
                <w:szCs w:val="28"/>
                <w:vertAlign w:val="baseline"/>
                <w:lang w:val="en-US" w:eastAsia="zh-CN"/>
              </w:rPr>
            </w:pPr>
          </w:p>
        </w:tc>
        <w:tc>
          <w:tcPr>
            <w:tcW w:w="893" w:type="dxa"/>
            <w:vAlign w:val="center"/>
          </w:tcPr>
          <w:p w14:paraId="1C3F6455">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仿宋" w:hAnsi="仿宋" w:eastAsia="仿宋" w:cs="仿宋"/>
                <w:b/>
                <w:bCs/>
                <w:sz w:val="28"/>
                <w:szCs w:val="28"/>
                <w:vertAlign w:val="baseline"/>
                <w:lang w:val="en-US" w:eastAsia="zh-CN"/>
              </w:rPr>
            </w:pPr>
          </w:p>
        </w:tc>
        <w:tc>
          <w:tcPr>
            <w:tcW w:w="882" w:type="dxa"/>
            <w:vAlign w:val="center"/>
          </w:tcPr>
          <w:p w14:paraId="65AE1CFF">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87" w:type="dxa"/>
            <w:vAlign w:val="center"/>
          </w:tcPr>
          <w:p w14:paraId="36258350">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i w:val="0"/>
                <w:iCs w:val="0"/>
                <w:color w:val="000000"/>
                <w:kern w:val="0"/>
                <w:sz w:val="28"/>
                <w:szCs w:val="28"/>
                <w:u w:val="none"/>
                <w:lang w:val="en-US" w:eastAsia="zh-CN" w:bidi="ar"/>
              </w:rPr>
            </w:pPr>
          </w:p>
        </w:tc>
        <w:tc>
          <w:tcPr>
            <w:tcW w:w="1204" w:type="dxa"/>
            <w:vAlign w:val="center"/>
          </w:tcPr>
          <w:p w14:paraId="7D813173">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i w:val="0"/>
                <w:iCs w:val="0"/>
                <w:color w:val="000000"/>
                <w:kern w:val="0"/>
                <w:sz w:val="28"/>
                <w:szCs w:val="28"/>
                <w:u w:val="none"/>
                <w:lang w:val="en-US" w:eastAsia="zh-CN" w:bidi="ar"/>
              </w:rPr>
            </w:pPr>
          </w:p>
        </w:tc>
        <w:tc>
          <w:tcPr>
            <w:tcW w:w="1786" w:type="dxa"/>
            <w:vAlign w:val="center"/>
          </w:tcPr>
          <w:p w14:paraId="52695AB2">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b/>
                <w:bCs/>
                <w:sz w:val="28"/>
                <w:szCs w:val="28"/>
                <w:vertAlign w:val="baseline"/>
                <w:lang w:val="en-US" w:eastAsia="zh-CN"/>
              </w:rPr>
            </w:pPr>
          </w:p>
        </w:tc>
      </w:tr>
      <w:tr w14:paraId="5102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9" w:type="dxa"/>
            <w:shd w:val="clear" w:color="auto" w:fill="auto"/>
            <w:vAlign w:val="center"/>
          </w:tcPr>
          <w:p w14:paraId="78936263">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7</w:t>
            </w:r>
          </w:p>
        </w:tc>
        <w:tc>
          <w:tcPr>
            <w:tcW w:w="1184" w:type="dxa"/>
            <w:vAlign w:val="center"/>
          </w:tcPr>
          <w:p w14:paraId="22A3E57A">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餐费</w:t>
            </w:r>
          </w:p>
        </w:tc>
        <w:tc>
          <w:tcPr>
            <w:tcW w:w="1716" w:type="dxa"/>
            <w:vAlign w:val="center"/>
          </w:tcPr>
          <w:p w14:paraId="25D88609">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仿宋" w:hAnsi="仿宋" w:eastAsia="仿宋" w:cs="仿宋"/>
                <w:b w:val="0"/>
                <w:bCs w:val="0"/>
                <w:sz w:val="28"/>
                <w:szCs w:val="28"/>
                <w:vertAlign w:val="baseline"/>
                <w:lang w:val="en-US" w:eastAsia="zh-CN"/>
              </w:rPr>
            </w:pPr>
          </w:p>
        </w:tc>
        <w:tc>
          <w:tcPr>
            <w:tcW w:w="893" w:type="dxa"/>
            <w:vAlign w:val="center"/>
          </w:tcPr>
          <w:p w14:paraId="456557AC">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仿宋" w:hAnsi="仿宋" w:eastAsia="仿宋" w:cs="仿宋"/>
                <w:b/>
                <w:bCs/>
                <w:sz w:val="28"/>
                <w:szCs w:val="28"/>
                <w:vertAlign w:val="baseline"/>
                <w:lang w:val="en-US" w:eastAsia="zh-CN"/>
              </w:rPr>
            </w:pPr>
          </w:p>
        </w:tc>
        <w:tc>
          <w:tcPr>
            <w:tcW w:w="882" w:type="dxa"/>
            <w:vAlign w:val="center"/>
          </w:tcPr>
          <w:p w14:paraId="7E9456B5">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i w:val="0"/>
                <w:iCs w:val="0"/>
                <w:color w:val="000000"/>
                <w:kern w:val="0"/>
                <w:sz w:val="28"/>
                <w:szCs w:val="28"/>
                <w:u w:val="none"/>
                <w:lang w:val="en-US" w:eastAsia="zh-CN" w:bidi="ar"/>
              </w:rPr>
            </w:pPr>
          </w:p>
        </w:tc>
        <w:tc>
          <w:tcPr>
            <w:tcW w:w="887" w:type="dxa"/>
            <w:vAlign w:val="center"/>
          </w:tcPr>
          <w:p w14:paraId="258F20C5">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i w:val="0"/>
                <w:iCs w:val="0"/>
                <w:color w:val="000000"/>
                <w:kern w:val="0"/>
                <w:sz w:val="28"/>
                <w:szCs w:val="28"/>
                <w:u w:val="none"/>
                <w:lang w:val="en-US" w:eastAsia="zh-CN" w:bidi="ar"/>
              </w:rPr>
            </w:pPr>
          </w:p>
        </w:tc>
        <w:tc>
          <w:tcPr>
            <w:tcW w:w="1204" w:type="dxa"/>
            <w:vAlign w:val="center"/>
          </w:tcPr>
          <w:p w14:paraId="03F11FA7">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i w:val="0"/>
                <w:iCs w:val="0"/>
                <w:color w:val="000000"/>
                <w:kern w:val="0"/>
                <w:sz w:val="28"/>
                <w:szCs w:val="28"/>
                <w:u w:val="none"/>
                <w:lang w:val="en-US" w:eastAsia="zh-CN" w:bidi="ar"/>
              </w:rPr>
            </w:pPr>
          </w:p>
        </w:tc>
        <w:tc>
          <w:tcPr>
            <w:tcW w:w="1786" w:type="dxa"/>
            <w:vAlign w:val="center"/>
          </w:tcPr>
          <w:p w14:paraId="4EE09A93">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b/>
                <w:bCs/>
                <w:sz w:val="28"/>
                <w:szCs w:val="28"/>
                <w:vertAlign w:val="baseline"/>
                <w:lang w:val="en-US" w:eastAsia="zh-CN"/>
              </w:rPr>
            </w:pPr>
          </w:p>
        </w:tc>
      </w:tr>
      <w:tr w14:paraId="2798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9" w:type="dxa"/>
            <w:vAlign w:val="center"/>
          </w:tcPr>
          <w:p w14:paraId="39701894">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8</w:t>
            </w:r>
          </w:p>
        </w:tc>
        <w:tc>
          <w:tcPr>
            <w:tcW w:w="1184" w:type="dxa"/>
            <w:vAlign w:val="center"/>
          </w:tcPr>
          <w:p w14:paraId="24531ACB">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保险</w:t>
            </w:r>
          </w:p>
        </w:tc>
        <w:tc>
          <w:tcPr>
            <w:tcW w:w="1716" w:type="dxa"/>
            <w:vAlign w:val="center"/>
          </w:tcPr>
          <w:p w14:paraId="0084668D">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b w:val="0"/>
                <w:bCs w:val="0"/>
                <w:i w:val="0"/>
                <w:iCs w:val="0"/>
                <w:color w:val="000000"/>
                <w:kern w:val="0"/>
                <w:sz w:val="28"/>
                <w:szCs w:val="28"/>
                <w:u w:val="none"/>
                <w:lang w:val="en-US" w:eastAsia="zh-CN" w:bidi="ar"/>
              </w:rPr>
            </w:pPr>
          </w:p>
        </w:tc>
        <w:tc>
          <w:tcPr>
            <w:tcW w:w="893" w:type="dxa"/>
            <w:vAlign w:val="center"/>
          </w:tcPr>
          <w:p w14:paraId="7B9E4B29">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i w:val="0"/>
                <w:iCs w:val="0"/>
                <w:color w:val="000000"/>
                <w:kern w:val="0"/>
                <w:sz w:val="28"/>
                <w:szCs w:val="28"/>
                <w:u w:val="none"/>
                <w:lang w:val="en-US" w:eastAsia="zh-CN" w:bidi="ar"/>
              </w:rPr>
            </w:pPr>
          </w:p>
        </w:tc>
        <w:tc>
          <w:tcPr>
            <w:tcW w:w="882" w:type="dxa"/>
            <w:vAlign w:val="center"/>
          </w:tcPr>
          <w:p w14:paraId="28B04D41">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87" w:type="dxa"/>
            <w:vAlign w:val="center"/>
          </w:tcPr>
          <w:p w14:paraId="4E5AB47D">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i w:val="0"/>
                <w:iCs w:val="0"/>
                <w:color w:val="000000"/>
                <w:kern w:val="0"/>
                <w:sz w:val="28"/>
                <w:szCs w:val="28"/>
                <w:u w:val="none"/>
                <w:lang w:val="en-US" w:eastAsia="zh-CN" w:bidi="ar"/>
              </w:rPr>
            </w:pPr>
          </w:p>
        </w:tc>
        <w:tc>
          <w:tcPr>
            <w:tcW w:w="1204" w:type="dxa"/>
            <w:vAlign w:val="center"/>
          </w:tcPr>
          <w:p w14:paraId="78FC4976">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i w:val="0"/>
                <w:iCs w:val="0"/>
                <w:color w:val="000000"/>
                <w:kern w:val="0"/>
                <w:sz w:val="28"/>
                <w:szCs w:val="28"/>
                <w:u w:val="none"/>
                <w:lang w:val="en-US" w:eastAsia="zh-CN" w:bidi="ar"/>
              </w:rPr>
            </w:pPr>
          </w:p>
        </w:tc>
        <w:tc>
          <w:tcPr>
            <w:tcW w:w="1786" w:type="dxa"/>
            <w:vAlign w:val="center"/>
          </w:tcPr>
          <w:p w14:paraId="5BAB4D04">
            <w:pPr>
              <w:snapToGrid w:val="0"/>
              <w:spacing w:line="240" w:lineRule="auto"/>
              <w:ind w:left="0" w:leftChars="0" w:right="0" w:rightChars="0" w:firstLine="0" w:firstLineChars="0"/>
              <w:jc w:val="center"/>
              <w:rPr>
                <w:rFonts w:hint="default" w:ascii="仿宋" w:hAnsi="仿宋" w:eastAsia="仿宋" w:cs="仿宋"/>
                <w:i w:val="0"/>
                <w:iCs w:val="0"/>
                <w:color w:val="000000"/>
                <w:kern w:val="0"/>
                <w:sz w:val="28"/>
                <w:szCs w:val="28"/>
                <w:u w:val="none"/>
                <w:lang w:val="en-US" w:eastAsia="zh-CN" w:bidi="ar"/>
              </w:rPr>
            </w:pPr>
          </w:p>
        </w:tc>
      </w:tr>
      <w:tr w14:paraId="67AE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99" w:type="dxa"/>
            <w:vAlign w:val="center"/>
          </w:tcPr>
          <w:p w14:paraId="4E9E8C56">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9</w:t>
            </w:r>
          </w:p>
        </w:tc>
        <w:tc>
          <w:tcPr>
            <w:tcW w:w="1184" w:type="dxa"/>
            <w:vAlign w:val="center"/>
          </w:tcPr>
          <w:p w14:paraId="4619F214">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操作费</w:t>
            </w:r>
          </w:p>
        </w:tc>
        <w:tc>
          <w:tcPr>
            <w:tcW w:w="1716" w:type="dxa"/>
            <w:vAlign w:val="center"/>
          </w:tcPr>
          <w:p w14:paraId="161141A0">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b w:val="0"/>
                <w:bCs w:val="0"/>
                <w:i w:val="0"/>
                <w:iCs w:val="0"/>
                <w:color w:val="000000"/>
                <w:kern w:val="0"/>
                <w:sz w:val="28"/>
                <w:szCs w:val="28"/>
                <w:u w:val="none"/>
                <w:lang w:val="en-US" w:eastAsia="zh-CN" w:bidi="ar"/>
              </w:rPr>
            </w:pPr>
          </w:p>
        </w:tc>
        <w:tc>
          <w:tcPr>
            <w:tcW w:w="893" w:type="dxa"/>
            <w:vAlign w:val="center"/>
          </w:tcPr>
          <w:p w14:paraId="7E65340C">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i w:val="0"/>
                <w:iCs w:val="0"/>
                <w:color w:val="000000"/>
                <w:kern w:val="0"/>
                <w:sz w:val="28"/>
                <w:szCs w:val="28"/>
                <w:u w:val="none"/>
                <w:lang w:val="en-US" w:eastAsia="zh-CN" w:bidi="ar"/>
              </w:rPr>
            </w:pPr>
          </w:p>
        </w:tc>
        <w:tc>
          <w:tcPr>
            <w:tcW w:w="882" w:type="dxa"/>
            <w:vAlign w:val="center"/>
          </w:tcPr>
          <w:p w14:paraId="16BD03A4">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87" w:type="dxa"/>
            <w:vAlign w:val="center"/>
          </w:tcPr>
          <w:p w14:paraId="04F00010">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i w:val="0"/>
                <w:iCs w:val="0"/>
                <w:color w:val="000000"/>
                <w:kern w:val="0"/>
                <w:sz w:val="28"/>
                <w:szCs w:val="28"/>
                <w:u w:val="none"/>
                <w:lang w:val="en-US" w:eastAsia="zh-CN" w:bidi="ar"/>
              </w:rPr>
            </w:pPr>
          </w:p>
        </w:tc>
        <w:tc>
          <w:tcPr>
            <w:tcW w:w="1204" w:type="dxa"/>
            <w:vAlign w:val="center"/>
          </w:tcPr>
          <w:p w14:paraId="623BD6C6">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i w:val="0"/>
                <w:iCs w:val="0"/>
                <w:color w:val="000000"/>
                <w:kern w:val="0"/>
                <w:sz w:val="28"/>
                <w:szCs w:val="28"/>
                <w:u w:val="none"/>
                <w:lang w:val="en-US" w:eastAsia="zh-CN" w:bidi="ar"/>
              </w:rPr>
            </w:pPr>
          </w:p>
        </w:tc>
        <w:tc>
          <w:tcPr>
            <w:tcW w:w="1786" w:type="dxa"/>
            <w:vAlign w:val="center"/>
          </w:tcPr>
          <w:p w14:paraId="721CB353">
            <w:pPr>
              <w:snapToGrid w:val="0"/>
              <w:spacing w:line="240" w:lineRule="auto"/>
              <w:ind w:left="0" w:leftChars="0" w:right="0" w:rightChars="0" w:firstLine="0" w:firstLineChars="0"/>
              <w:jc w:val="center"/>
              <w:rPr>
                <w:rFonts w:hint="default" w:ascii="仿宋" w:hAnsi="仿宋" w:eastAsia="仿宋" w:cs="仿宋"/>
                <w:color w:val="000000"/>
                <w:sz w:val="28"/>
                <w:szCs w:val="28"/>
                <w:lang w:val="en-US" w:eastAsia="zh-CN"/>
              </w:rPr>
            </w:pPr>
          </w:p>
        </w:tc>
      </w:tr>
      <w:tr w14:paraId="32A7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361" w:type="dxa"/>
            <w:gridSpan w:val="6"/>
            <w:vAlign w:val="center"/>
          </w:tcPr>
          <w:p w14:paraId="090B5E0B">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小计</w:t>
            </w:r>
          </w:p>
        </w:tc>
        <w:tc>
          <w:tcPr>
            <w:tcW w:w="1204" w:type="dxa"/>
            <w:vAlign w:val="center"/>
          </w:tcPr>
          <w:p w14:paraId="47D60401">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i w:val="0"/>
                <w:iCs w:val="0"/>
                <w:color w:val="000000"/>
                <w:kern w:val="0"/>
                <w:sz w:val="28"/>
                <w:szCs w:val="28"/>
                <w:u w:val="none"/>
                <w:lang w:val="en-US" w:eastAsia="zh-CN" w:bidi="ar"/>
              </w:rPr>
            </w:pPr>
          </w:p>
        </w:tc>
        <w:tc>
          <w:tcPr>
            <w:tcW w:w="1786" w:type="dxa"/>
            <w:vAlign w:val="center"/>
          </w:tcPr>
          <w:p w14:paraId="48C31149">
            <w:pPr>
              <w:snapToGrid w:val="0"/>
              <w:spacing w:line="240" w:lineRule="auto"/>
              <w:ind w:left="0" w:leftChars="0" w:right="0" w:rightChars="0" w:firstLine="0" w:firstLineChars="0"/>
              <w:jc w:val="center"/>
              <w:rPr>
                <w:rFonts w:hint="eastAsia" w:ascii="仿宋" w:hAnsi="仿宋" w:eastAsia="仿宋" w:cs="仿宋"/>
                <w:color w:val="000000"/>
                <w:sz w:val="28"/>
                <w:szCs w:val="28"/>
                <w:lang w:val="en-US" w:eastAsia="zh-CN"/>
              </w:rPr>
            </w:pPr>
          </w:p>
        </w:tc>
      </w:tr>
      <w:tr w14:paraId="0469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99" w:type="dxa"/>
            <w:vAlign w:val="center"/>
          </w:tcPr>
          <w:p w14:paraId="2445CD3B">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10</w:t>
            </w:r>
          </w:p>
        </w:tc>
        <w:tc>
          <w:tcPr>
            <w:tcW w:w="1184" w:type="dxa"/>
            <w:vAlign w:val="center"/>
          </w:tcPr>
          <w:p w14:paraId="604B5000">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税点</w:t>
            </w:r>
          </w:p>
        </w:tc>
        <w:tc>
          <w:tcPr>
            <w:tcW w:w="1716" w:type="dxa"/>
            <w:vAlign w:val="center"/>
          </w:tcPr>
          <w:p w14:paraId="60B48E42">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增值税</w:t>
            </w:r>
          </w:p>
        </w:tc>
        <w:tc>
          <w:tcPr>
            <w:tcW w:w="893" w:type="dxa"/>
            <w:vAlign w:val="center"/>
          </w:tcPr>
          <w:p w14:paraId="0ACEF02D">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280" w:firstLineChars="100"/>
              <w:jc w:val="both"/>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w:t>
            </w:r>
          </w:p>
        </w:tc>
        <w:tc>
          <w:tcPr>
            <w:tcW w:w="882" w:type="dxa"/>
            <w:vAlign w:val="center"/>
          </w:tcPr>
          <w:p w14:paraId="6732F868">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w:t>
            </w:r>
          </w:p>
        </w:tc>
        <w:tc>
          <w:tcPr>
            <w:tcW w:w="887" w:type="dxa"/>
            <w:vAlign w:val="center"/>
          </w:tcPr>
          <w:p w14:paraId="2B47D054">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w:t>
            </w:r>
          </w:p>
        </w:tc>
        <w:tc>
          <w:tcPr>
            <w:tcW w:w="1204" w:type="dxa"/>
            <w:vAlign w:val="center"/>
          </w:tcPr>
          <w:p w14:paraId="5C960133">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i w:val="0"/>
                <w:iCs w:val="0"/>
                <w:color w:val="000000"/>
                <w:kern w:val="0"/>
                <w:sz w:val="28"/>
                <w:szCs w:val="28"/>
                <w:u w:val="none"/>
                <w:lang w:val="en-US" w:eastAsia="zh-CN" w:bidi="ar"/>
              </w:rPr>
            </w:pPr>
          </w:p>
        </w:tc>
        <w:tc>
          <w:tcPr>
            <w:tcW w:w="1786" w:type="dxa"/>
            <w:vAlign w:val="center"/>
          </w:tcPr>
          <w:p w14:paraId="49B30267">
            <w:pPr>
              <w:snapToGrid w:val="0"/>
              <w:spacing w:line="240" w:lineRule="auto"/>
              <w:ind w:left="0" w:leftChars="0" w:right="0" w:rightChars="0" w:firstLine="0" w:firstLineChars="0"/>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国家规定的增值税费</w:t>
            </w:r>
          </w:p>
        </w:tc>
      </w:tr>
      <w:tr w14:paraId="1880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361" w:type="dxa"/>
            <w:gridSpan w:val="6"/>
            <w:vAlign w:val="center"/>
          </w:tcPr>
          <w:p w14:paraId="175BEA50">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b/>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总计</w:t>
            </w:r>
          </w:p>
        </w:tc>
        <w:tc>
          <w:tcPr>
            <w:tcW w:w="1204" w:type="dxa"/>
            <w:vAlign w:val="center"/>
          </w:tcPr>
          <w:p w14:paraId="49B82A1B">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b/>
                <w:i w:val="0"/>
                <w:iCs w:val="0"/>
                <w:color w:val="000000"/>
                <w:kern w:val="0"/>
                <w:sz w:val="28"/>
                <w:szCs w:val="28"/>
                <w:u w:val="none"/>
                <w:lang w:val="en-US" w:eastAsia="zh-CN" w:bidi="ar"/>
              </w:rPr>
            </w:pPr>
          </w:p>
        </w:tc>
        <w:tc>
          <w:tcPr>
            <w:tcW w:w="1786" w:type="dxa"/>
            <w:vAlign w:val="center"/>
          </w:tcPr>
          <w:p w14:paraId="7BB93A43">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default" w:ascii="仿宋" w:hAnsi="仿宋" w:eastAsia="仿宋" w:cs="仿宋"/>
                <w:b/>
                <w:i w:val="0"/>
                <w:iCs w:val="0"/>
                <w:color w:val="000000"/>
                <w:kern w:val="0"/>
                <w:sz w:val="28"/>
                <w:szCs w:val="28"/>
                <w:u w:val="none"/>
                <w:lang w:val="en-US" w:eastAsia="zh-CN" w:bidi="ar"/>
              </w:rPr>
            </w:pPr>
          </w:p>
        </w:tc>
      </w:tr>
    </w:tbl>
    <w:p w14:paraId="63364355">
      <w:pPr>
        <w:keepNext w:val="0"/>
        <w:keepLines w:val="0"/>
        <w:pageBreakBefore w:val="0"/>
        <w:kinsoku/>
        <w:wordWrap/>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br w:type="page"/>
      </w:r>
    </w:p>
    <w:p w14:paraId="426CD30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附件三</w:t>
      </w:r>
      <w:r>
        <w:rPr>
          <w:rFonts w:hint="eastAsia" w:ascii="仿宋" w:hAnsi="仿宋" w:eastAsia="仿宋" w:cs="仿宋"/>
          <w:b/>
          <w:bCs/>
          <w:sz w:val="28"/>
          <w:szCs w:val="28"/>
          <w:lang w:eastAsia="zh-CN"/>
        </w:rPr>
        <w:t>：</w:t>
      </w:r>
      <w:r>
        <w:rPr>
          <w:rFonts w:hint="eastAsia" w:ascii="仿宋" w:hAnsi="仿宋" w:eastAsia="仿宋" w:cs="仿宋"/>
          <w:b/>
          <w:bCs/>
          <w:spacing w:val="-11"/>
          <w:sz w:val="28"/>
          <w:szCs w:val="28"/>
        </w:rPr>
        <w:t>北京师范大学教育集团</w:t>
      </w:r>
      <w:r>
        <w:rPr>
          <w:rFonts w:hint="eastAsia" w:ascii="仿宋" w:hAnsi="仿宋" w:eastAsia="仿宋" w:cs="仿宋"/>
          <w:b/>
          <w:bCs w:val="0"/>
          <w:kern w:val="0"/>
          <w:sz w:val="36"/>
          <w:szCs w:val="36"/>
          <w:lang w:val="en-US" w:eastAsia="zh-CN"/>
        </w:rPr>
        <w:t>【   】</w:t>
      </w:r>
      <w:r>
        <w:rPr>
          <w:rFonts w:hint="eastAsia" w:ascii="仿宋" w:hAnsi="仿宋" w:eastAsia="仿宋" w:cs="仿宋"/>
          <w:b/>
          <w:bCs/>
          <w:sz w:val="28"/>
          <w:szCs w:val="28"/>
        </w:rPr>
        <w:t>行程单</w:t>
      </w:r>
    </w:p>
    <w:p w14:paraId="268635B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rPr>
      </w:pPr>
    </w:p>
    <w:tbl>
      <w:tblPr>
        <w:tblStyle w:val="33"/>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45" w:type="dxa"/>
          <w:left w:w="96" w:type="dxa"/>
          <w:bottom w:w="45" w:type="dxa"/>
          <w:right w:w="96" w:type="dxa"/>
        </w:tblCellMar>
      </w:tblPr>
      <w:tblGrid>
        <w:gridCol w:w="2173"/>
        <w:gridCol w:w="6665"/>
      </w:tblGrid>
      <w:tr w14:paraId="2BAE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45" w:type="dxa"/>
            <w:left w:w="96" w:type="dxa"/>
            <w:bottom w:w="45" w:type="dxa"/>
            <w:right w:w="96" w:type="dxa"/>
          </w:tblCellMar>
        </w:tblPrEx>
        <w:trPr>
          <w:trHeight w:val="0" w:hRule="atLeast"/>
          <w:tblHeader/>
          <w:jc w:val="center"/>
        </w:trPr>
        <w:tc>
          <w:tcPr>
            <w:tcW w:w="8838" w:type="dxa"/>
            <w:gridSpan w:val="2"/>
            <w:tcBorders>
              <w:top w:val="single" w:color="000000" w:sz="6" w:space="0"/>
              <w:left w:val="single" w:color="000000" w:sz="6" w:space="0"/>
              <w:bottom w:val="single" w:color="auto" w:sz="4" w:space="0"/>
              <w:right w:val="single" w:color="000000" w:sz="6" w:space="0"/>
            </w:tcBorders>
            <w:shd w:val="clear" w:color="auto" w:fill="FFFFFF"/>
            <w:vAlign w:val="center"/>
          </w:tcPr>
          <w:p w14:paraId="79F03136">
            <w:pPr>
              <w:keepNext w:val="0"/>
              <w:keepLines w:val="0"/>
              <w:pageBreakBefore w:val="0"/>
              <w:widowControl/>
              <w:suppressLineNumbers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default" w:ascii="仿宋" w:hAnsi="仿宋" w:eastAsia="仿宋" w:cs="仿宋"/>
                <w:b/>
                <w:bCs/>
                <w:i w:val="0"/>
                <w:iCs w:val="0"/>
                <w:color w:val="000000"/>
                <w:sz w:val="28"/>
                <w:szCs w:val="28"/>
                <w:u w:val="none"/>
                <w:lang w:val="en-US" w:eastAsia="zh-CN"/>
              </w:rPr>
            </w:pPr>
            <w:r>
              <w:rPr>
                <w:rFonts w:hint="eastAsia" w:ascii="仿宋" w:hAnsi="仿宋" w:eastAsia="仿宋" w:cs="仿宋"/>
                <w:b/>
                <w:bCs/>
                <w:i w:val="0"/>
                <w:iCs w:val="0"/>
                <w:color w:val="000000"/>
                <w:sz w:val="28"/>
                <w:szCs w:val="28"/>
                <w:u w:val="none"/>
                <w:lang w:val="en-US" w:eastAsia="zh-CN"/>
              </w:rPr>
              <w:t>行程单</w:t>
            </w:r>
          </w:p>
        </w:tc>
      </w:tr>
      <w:tr w14:paraId="30A1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45" w:type="dxa"/>
            <w:left w:w="96" w:type="dxa"/>
            <w:bottom w:w="45" w:type="dxa"/>
            <w:right w:w="96" w:type="dxa"/>
          </w:tblCellMar>
        </w:tblPrEx>
        <w:trPr>
          <w:trHeight w:val="0" w:hRule="atLeast"/>
          <w:jc w:val="center"/>
        </w:trPr>
        <w:tc>
          <w:tcPr>
            <w:tcW w:w="2173" w:type="dxa"/>
            <w:tcBorders>
              <w:top w:val="single" w:color="auto" w:sz="4" w:space="0"/>
              <w:left w:val="single" w:color="auto" w:sz="4" w:space="0"/>
              <w:bottom w:val="single" w:color="auto" w:sz="4" w:space="0"/>
              <w:right w:val="single" w:color="auto" w:sz="4" w:space="0"/>
            </w:tcBorders>
            <w:shd w:val="clear" w:color="auto" w:fill="FFFFFF"/>
            <w:vAlign w:val="center"/>
          </w:tcPr>
          <w:p w14:paraId="7425199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val="0"/>
                <w:bCs/>
                <w:i w:val="0"/>
                <w:iCs w:val="0"/>
                <w:color w:val="000000"/>
                <w:sz w:val="28"/>
                <w:szCs w:val="28"/>
                <w:u w:val="none"/>
              </w:rPr>
            </w:pPr>
            <w:r>
              <w:rPr>
                <w:rFonts w:hint="eastAsia" w:ascii="仿宋" w:hAnsi="仿宋" w:eastAsia="仿宋" w:cs="仿宋"/>
                <w:b w:val="0"/>
                <w:bCs/>
                <w:i w:val="0"/>
                <w:iCs w:val="0"/>
                <w:snapToGrid w:val="0"/>
                <w:color w:val="000000"/>
                <w:kern w:val="0"/>
                <w:sz w:val="28"/>
                <w:szCs w:val="28"/>
                <w:u w:val="none"/>
                <w:lang w:val="en-US" w:eastAsia="zh-CN" w:bidi="ar"/>
              </w:rPr>
              <w:t>7月18日</w:t>
            </w:r>
          </w:p>
        </w:tc>
        <w:tc>
          <w:tcPr>
            <w:tcW w:w="6665" w:type="dxa"/>
            <w:tcBorders>
              <w:top w:val="single" w:color="auto" w:sz="4" w:space="0"/>
              <w:left w:val="single" w:color="auto" w:sz="4" w:space="0"/>
              <w:bottom w:val="single" w:color="auto" w:sz="4" w:space="0"/>
              <w:right w:val="single" w:color="auto" w:sz="4" w:space="0"/>
            </w:tcBorders>
            <w:shd w:val="clear" w:color="auto" w:fill="FFFFFF"/>
            <w:vAlign w:val="center"/>
          </w:tcPr>
          <w:p w14:paraId="11E0AF5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val="0"/>
                <w:bCs/>
                <w:i w:val="0"/>
                <w:iCs w:val="0"/>
                <w:color w:val="auto"/>
                <w:sz w:val="28"/>
                <w:szCs w:val="28"/>
                <w:u w:val="none"/>
              </w:rPr>
            </w:pPr>
          </w:p>
        </w:tc>
      </w:tr>
      <w:tr w14:paraId="2732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45" w:type="dxa"/>
            <w:left w:w="96" w:type="dxa"/>
            <w:bottom w:w="45" w:type="dxa"/>
            <w:right w:w="96" w:type="dxa"/>
          </w:tblCellMar>
        </w:tblPrEx>
        <w:trPr>
          <w:trHeight w:val="0" w:hRule="atLeast"/>
          <w:jc w:val="center"/>
        </w:trPr>
        <w:tc>
          <w:tcPr>
            <w:tcW w:w="2173" w:type="dxa"/>
            <w:tcBorders>
              <w:top w:val="single" w:color="auto" w:sz="4" w:space="0"/>
              <w:left w:val="single" w:color="auto" w:sz="4" w:space="0"/>
              <w:bottom w:val="single" w:color="auto" w:sz="4" w:space="0"/>
              <w:right w:val="single" w:color="auto" w:sz="4" w:space="0"/>
            </w:tcBorders>
            <w:shd w:val="clear" w:color="auto" w:fill="FFFFFF"/>
            <w:vAlign w:val="center"/>
          </w:tcPr>
          <w:p w14:paraId="6A655CD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val="0"/>
                <w:bCs/>
                <w:i w:val="0"/>
                <w:iCs w:val="0"/>
                <w:color w:val="000000"/>
                <w:sz w:val="28"/>
                <w:szCs w:val="28"/>
                <w:u w:val="none"/>
              </w:rPr>
            </w:pPr>
            <w:r>
              <w:rPr>
                <w:rFonts w:hint="eastAsia" w:ascii="仿宋" w:hAnsi="仿宋" w:eastAsia="仿宋" w:cs="仿宋"/>
                <w:b w:val="0"/>
                <w:bCs/>
                <w:i w:val="0"/>
                <w:iCs w:val="0"/>
                <w:snapToGrid w:val="0"/>
                <w:color w:val="000000"/>
                <w:kern w:val="0"/>
                <w:sz w:val="28"/>
                <w:szCs w:val="28"/>
                <w:u w:val="none"/>
                <w:lang w:val="en-US" w:eastAsia="zh-CN" w:bidi="ar"/>
              </w:rPr>
              <w:t>7月19日</w:t>
            </w:r>
          </w:p>
        </w:tc>
        <w:tc>
          <w:tcPr>
            <w:tcW w:w="6665" w:type="dxa"/>
            <w:tcBorders>
              <w:top w:val="single" w:color="auto" w:sz="4" w:space="0"/>
              <w:left w:val="single" w:color="auto" w:sz="4" w:space="0"/>
              <w:bottom w:val="single" w:color="auto" w:sz="4" w:space="0"/>
              <w:right w:val="single" w:color="auto" w:sz="4" w:space="0"/>
            </w:tcBorders>
            <w:shd w:val="clear" w:color="auto" w:fill="FFFFFF"/>
            <w:vAlign w:val="center"/>
          </w:tcPr>
          <w:p w14:paraId="2AE97E9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仿宋" w:hAnsi="仿宋" w:eastAsia="仿宋" w:cs="仿宋"/>
                <w:b w:val="0"/>
                <w:i w:val="0"/>
                <w:iCs w:val="0"/>
                <w:color w:val="000000"/>
                <w:sz w:val="28"/>
                <w:szCs w:val="28"/>
                <w:u w:val="none"/>
                <w:lang w:val="en-US"/>
              </w:rPr>
            </w:pPr>
          </w:p>
        </w:tc>
      </w:tr>
      <w:tr w14:paraId="6366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45" w:type="dxa"/>
            <w:left w:w="96" w:type="dxa"/>
            <w:bottom w:w="45" w:type="dxa"/>
            <w:right w:w="96" w:type="dxa"/>
          </w:tblCellMar>
        </w:tblPrEx>
        <w:trPr>
          <w:trHeight w:val="0" w:hRule="atLeast"/>
          <w:jc w:val="center"/>
        </w:trPr>
        <w:tc>
          <w:tcPr>
            <w:tcW w:w="2173" w:type="dxa"/>
            <w:tcBorders>
              <w:top w:val="single" w:color="auto" w:sz="4" w:space="0"/>
              <w:left w:val="single" w:color="auto" w:sz="4" w:space="0"/>
              <w:bottom w:val="single" w:color="auto" w:sz="4" w:space="0"/>
              <w:right w:val="single" w:color="auto" w:sz="4" w:space="0"/>
            </w:tcBorders>
            <w:shd w:val="clear" w:color="auto" w:fill="FFFFFF"/>
            <w:vAlign w:val="center"/>
          </w:tcPr>
          <w:p w14:paraId="6FB2F8A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仿宋" w:hAnsi="仿宋" w:eastAsia="仿宋" w:cs="仿宋"/>
                <w:b w:val="0"/>
                <w:bCs/>
                <w:i w:val="0"/>
                <w:iCs w:val="0"/>
                <w:snapToGrid w:val="0"/>
                <w:color w:val="000000"/>
                <w:kern w:val="0"/>
                <w:sz w:val="28"/>
                <w:szCs w:val="28"/>
                <w:u w:val="none"/>
                <w:lang w:val="en-US" w:eastAsia="zh-CN" w:bidi="ar"/>
              </w:rPr>
            </w:pPr>
            <w:r>
              <w:rPr>
                <w:rFonts w:hint="eastAsia" w:ascii="仿宋" w:hAnsi="仿宋" w:eastAsia="仿宋" w:cs="仿宋"/>
                <w:b w:val="0"/>
                <w:bCs/>
                <w:i w:val="0"/>
                <w:iCs w:val="0"/>
                <w:snapToGrid w:val="0"/>
                <w:color w:val="000000"/>
                <w:kern w:val="0"/>
                <w:sz w:val="28"/>
                <w:szCs w:val="28"/>
                <w:u w:val="none"/>
                <w:lang w:val="en-US" w:eastAsia="zh-CN" w:bidi="ar"/>
              </w:rPr>
              <w:t>7月20日</w:t>
            </w:r>
          </w:p>
        </w:tc>
        <w:tc>
          <w:tcPr>
            <w:tcW w:w="6665" w:type="dxa"/>
            <w:tcBorders>
              <w:top w:val="single" w:color="auto" w:sz="4" w:space="0"/>
              <w:left w:val="single" w:color="auto" w:sz="4" w:space="0"/>
              <w:bottom w:val="single" w:color="auto" w:sz="4" w:space="0"/>
              <w:right w:val="single" w:color="auto" w:sz="4" w:space="0"/>
            </w:tcBorders>
            <w:shd w:val="clear" w:color="auto" w:fill="FFFFFF"/>
            <w:vAlign w:val="center"/>
          </w:tcPr>
          <w:p w14:paraId="4642C63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仿宋" w:hAnsi="仿宋" w:eastAsia="仿宋" w:cs="仿宋"/>
                <w:b w:val="0"/>
                <w:bCs/>
                <w:i w:val="0"/>
                <w:iCs w:val="0"/>
                <w:snapToGrid w:val="0"/>
                <w:color w:val="000000"/>
                <w:kern w:val="0"/>
                <w:sz w:val="28"/>
                <w:szCs w:val="28"/>
                <w:u w:val="none"/>
                <w:lang w:val="en-US" w:eastAsia="zh-CN" w:bidi="ar"/>
              </w:rPr>
            </w:pPr>
          </w:p>
        </w:tc>
      </w:tr>
      <w:tr w14:paraId="7D68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45" w:type="dxa"/>
            <w:left w:w="96" w:type="dxa"/>
            <w:bottom w:w="45" w:type="dxa"/>
            <w:right w:w="96" w:type="dxa"/>
          </w:tblCellMar>
        </w:tblPrEx>
        <w:trPr>
          <w:trHeight w:val="0" w:hRule="atLeast"/>
          <w:jc w:val="center"/>
        </w:trPr>
        <w:tc>
          <w:tcPr>
            <w:tcW w:w="2173" w:type="dxa"/>
            <w:tcBorders>
              <w:top w:val="single" w:color="auto" w:sz="4" w:space="0"/>
              <w:left w:val="single" w:color="auto" w:sz="4" w:space="0"/>
              <w:bottom w:val="single" w:color="auto" w:sz="4" w:space="0"/>
              <w:right w:val="single" w:color="auto" w:sz="4" w:space="0"/>
            </w:tcBorders>
            <w:shd w:val="clear" w:color="auto" w:fill="FFFFFF"/>
            <w:vAlign w:val="center"/>
          </w:tcPr>
          <w:p w14:paraId="1E390A8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val="0"/>
                <w:bCs/>
                <w:i w:val="0"/>
                <w:iCs w:val="0"/>
                <w:snapToGrid w:val="0"/>
                <w:color w:val="000000"/>
                <w:kern w:val="0"/>
                <w:sz w:val="28"/>
                <w:szCs w:val="28"/>
                <w:u w:val="none"/>
                <w:lang w:val="en-US" w:eastAsia="zh-CN" w:bidi="ar"/>
              </w:rPr>
            </w:pPr>
            <w:r>
              <w:rPr>
                <w:rFonts w:hint="eastAsia" w:ascii="仿宋" w:hAnsi="仿宋" w:eastAsia="仿宋" w:cs="仿宋"/>
                <w:b w:val="0"/>
                <w:bCs/>
                <w:i w:val="0"/>
                <w:iCs w:val="0"/>
                <w:snapToGrid w:val="0"/>
                <w:color w:val="000000"/>
                <w:kern w:val="0"/>
                <w:sz w:val="28"/>
                <w:szCs w:val="28"/>
                <w:u w:val="none"/>
                <w:lang w:val="en-US" w:eastAsia="zh-CN" w:bidi="ar"/>
              </w:rPr>
              <w:t>7月21日</w:t>
            </w:r>
          </w:p>
        </w:tc>
        <w:tc>
          <w:tcPr>
            <w:tcW w:w="6665" w:type="dxa"/>
            <w:tcBorders>
              <w:top w:val="single" w:color="auto" w:sz="4" w:space="0"/>
              <w:left w:val="single" w:color="auto" w:sz="4" w:space="0"/>
              <w:bottom w:val="single" w:color="auto" w:sz="4" w:space="0"/>
              <w:right w:val="single" w:color="auto" w:sz="4" w:space="0"/>
            </w:tcBorders>
            <w:shd w:val="clear" w:color="auto" w:fill="FFFFFF"/>
            <w:vAlign w:val="center"/>
          </w:tcPr>
          <w:p w14:paraId="0E9BB8D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val="0"/>
                <w:bCs/>
                <w:i w:val="0"/>
                <w:iCs w:val="0"/>
                <w:snapToGrid w:val="0"/>
                <w:color w:val="000000"/>
                <w:kern w:val="0"/>
                <w:sz w:val="28"/>
                <w:szCs w:val="28"/>
                <w:u w:val="none"/>
                <w:lang w:val="en-US" w:eastAsia="zh-CN" w:bidi="ar"/>
              </w:rPr>
            </w:pPr>
          </w:p>
        </w:tc>
      </w:tr>
      <w:tr w14:paraId="7FE1A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45" w:type="dxa"/>
            <w:left w:w="96" w:type="dxa"/>
            <w:bottom w:w="45" w:type="dxa"/>
            <w:right w:w="96" w:type="dxa"/>
          </w:tblCellMar>
        </w:tblPrEx>
        <w:trPr>
          <w:trHeight w:val="0" w:hRule="atLeast"/>
          <w:jc w:val="center"/>
        </w:trPr>
        <w:tc>
          <w:tcPr>
            <w:tcW w:w="2173" w:type="dxa"/>
            <w:tcBorders>
              <w:top w:val="single" w:color="auto" w:sz="4" w:space="0"/>
              <w:left w:val="single" w:color="auto" w:sz="4" w:space="0"/>
              <w:bottom w:val="single" w:color="auto" w:sz="4" w:space="0"/>
              <w:right w:val="single" w:color="auto" w:sz="4" w:space="0"/>
            </w:tcBorders>
            <w:shd w:val="clear" w:color="auto" w:fill="FFFFFF"/>
            <w:vAlign w:val="center"/>
          </w:tcPr>
          <w:p w14:paraId="1648C89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val="0"/>
                <w:bCs/>
                <w:i w:val="0"/>
                <w:iCs w:val="0"/>
                <w:snapToGrid w:val="0"/>
                <w:color w:val="000000"/>
                <w:kern w:val="0"/>
                <w:sz w:val="28"/>
                <w:szCs w:val="28"/>
                <w:u w:val="none"/>
                <w:lang w:val="en-US" w:eastAsia="zh-CN" w:bidi="ar"/>
              </w:rPr>
            </w:pPr>
            <w:r>
              <w:rPr>
                <w:rFonts w:hint="eastAsia" w:ascii="仿宋" w:hAnsi="仿宋" w:eastAsia="仿宋" w:cs="仿宋"/>
                <w:b w:val="0"/>
                <w:bCs/>
                <w:i w:val="0"/>
                <w:iCs w:val="0"/>
                <w:snapToGrid w:val="0"/>
                <w:color w:val="000000"/>
                <w:kern w:val="0"/>
                <w:sz w:val="28"/>
                <w:szCs w:val="28"/>
                <w:u w:val="none"/>
                <w:lang w:val="en-US" w:eastAsia="zh-CN" w:bidi="ar"/>
              </w:rPr>
              <w:t>7月22日</w:t>
            </w:r>
          </w:p>
        </w:tc>
        <w:tc>
          <w:tcPr>
            <w:tcW w:w="6665" w:type="dxa"/>
            <w:tcBorders>
              <w:top w:val="single" w:color="auto" w:sz="4" w:space="0"/>
              <w:left w:val="single" w:color="auto" w:sz="4" w:space="0"/>
              <w:bottom w:val="single" w:color="auto" w:sz="4" w:space="0"/>
              <w:right w:val="single" w:color="auto" w:sz="4" w:space="0"/>
            </w:tcBorders>
            <w:shd w:val="clear" w:color="auto" w:fill="FFFFFF"/>
            <w:vAlign w:val="center"/>
          </w:tcPr>
          <w:p w14:paraId="531E944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val="0"/>
                <w:bCs/>
                <w:i w:val="0"/>
                <w:iCs w:val="0"/>
                <w:snapToGrid w:val="0"/>
                <w:color w:val="000000"/>
                <w:kern w:val="0"/>
                <w:sz w:val="28"/>
                <w:szCs w:val="28"/>
                <w:u w:val="none"/>
                <w:lang w:val="en-US" w:eastAsia="zh-CN" w:bidi="ar"/>
              </w:rPr>
            </w:pPr>
          </w:p>
        </w:tc>
      </w:tr>
      <w:tr w14:paraId="4774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45" w:type="dxa"/>
            <w:left w:w="96" w:type="dxa"/>
            <w:bottom w:w="45" w:type="dxa"/>
            <w:right w:w="96" w:type="dxa"/>
          </w:tblCellMar>
        </w:tblPrEx>
        <w:trPr>
          <w:trHeight w:val="0" w:hRule="atLeast"/>
          <w:jc w:val="center"/>
        </w:trPr>
        <w:tc>
          <w:tcPr>
            <w:tcW w:w="2173" w:type="dxa"/>
            <w:tcBorders>
              <w:top w:val="single" w:color="auto" w:sz="4" w:space="0"/>
              <w:left w:val="single" w:color="auto" w:sz="4" w:space="0"/>
              <w:bottom w:val="single" w:color="auto" w:sz="4" w:space="0"/>
              <w:right w:val="single" w:color="auto" w:sz="4" w:space="0"/>
            </w:tcBorders>
            <w:shd w:val="clear" w:color="auto" w:fill="FFFFFF"/>
            <w:vAlign w:val="center"/>
          </w:tcPr>
          <w:p w14:paraId="6B922FB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仿宋" w:hAnsi="仿宋" w:eastAsia="仿宋" w:cs="仿宋"/>
                <w:b w:val="0"/>
                <w:bCs/>
                <w:i w:val="0"/>
                <w:iCs w:val="0"/>
                <w:snapToGrid w:val="0"/>
                <w:color w:val="000000"/>
                <w:kern w:val="0"/>
                <w:sz w:val="28"/>
                <w:szCs w:val="28"/>
                <w:u w:val="none"/>
                <w:lang w:val="en-US" w:eastAsia="zh-CN" w:bidi="ar"/>
              </w:rPr>
            </w:pPr>
            <w:r>
              <w:rPr>
                <w:rFonts w:hint="eastAsia" w:ascii="仿宋" w:hAnsi="仿宋" w:eastAsia="仿宋" w:cs="仿宋"/>
                <w:b w:val="0"/>
                <w:bCs/>
                <w:i w:val="0"/>
                <w:iCs w:val="0"/>
                <w:snapToGrid w:val="0"/>
                <w:color w:val="000000"/>
                <w:kern w:val="0"/>
                <w:sz w:val="28"/>
                <w:szCs w:val="28"/>
                <w:u w:val="none"/>
                <w:lang w:val="en-US" w:eastAsia="zh-CN" w:bidi="ar"/>
              </w:rPr>
              <w:t>7月23日</w:t>
            </w:r>
          </w:p>
        </w:tc>
        <w:tc>
          <w:tcPr>
            <w:tcW w:w="6665" w:type="dxa"/>
            <w:tcBorders>
              <w:top w:val="single" w:color="auto" w:sz="4" w:space="0"/>
              <w:left w:val="single" w:color="auto" w:sz="4" w:space="0"/>
              <w:bottom w:val="single" w:color="auto" w:sz="4" w:space="0"/>
              <w:right w:val="single" w:color="auto" w:sz="4" w:space="0"/>
            </w:tcBorders>
            <w:shd w:val="clear" w:color="auto" w:fill="FFFFFF"/>
            <w:vAlign w:val="center"/>
          </w:tcPr>
          <w:p w14:paraId="444C781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val="0"/>
                <w:bCs/>
                <w:i w:val="0"/>
                <w:iCs w:val="0"/>
                <w:snapToGrid w:val="0"/>
                <w:color w:val="000000"/>
                <w:kern w:val="0"/>
                <w:sz w:val="28"/>
                <w:szCs w:val="28"/>
                <w:u w:val="none"/>
                <w:lang w:val="en-US" w:eastAsia="zh-CN" w:bidi="ar"/>
              </w:rPr>
            </w:pPr>
          </w:p>
        </w:tc>
      </w:tr>
    </w:tbl>
    <w:p w14:paraId="080C5E35">
      <w:pPr>
        <w:keepNext w:val="0"/>
        <w:keepLines w:val="0"/>
        <w:pageBreakBefore w:val="0"/>
        <w:widowControl/>
        <w:kinsoku/>
        <w:wordWrap/>
        <w:overflowPunct/>
        <w:topLinePunct w:val="0"/>
        <w:autoSpaceDE/>
        <w:autoSpaceDN/>
        <w:bidi w:val="0"/>
        <w:spacing w:line="560" w:lineRule="exact"/>
        <w:jc w:val="left"/>
        <w:rPr>
          <w:rFonts w:hint="eastAsia" w:ascii="仿宋" w:hAnsi="仿宋" w:eastAsia="仿宋" w:cs="仿宋"/>
          <w:sz w:val="28"/>
          <w:szCs w:val="28"/>
        </w:rPr>
      </w:pPr>
      <w:r>
        <w:rPr>
          <w:rFonts w:hint="eastAsia" w:ascii="仿宋" w:hAnsi="仿宋" w:eastAsia="仿宋" w:cs="仿宋"/>
          <w:sz w:val="28"/>
          <w:szCs w:val="28"/>
        </w:rPr>
        <w:br w:type="page"/>
      </w:r>
    </w:p>
    <w:p w14:paraId="7FA5D100">
      <w:pPr>
        <w:keepNext w:val="0"/>
        <w:keepLines w:val="0"/>
        <w:pageBreakBefore w:val="0"/>
        <w:kinsoku/>
        <w:wordWrap/>
        <w:overflowPunct/>
        <w:topLinePunct w:val="0"/>
        <w:autoSpaceDE/>
        <w:autoSpaceDN/>
        <w:bidi w:val="0"/>
        <w:spacing w:line="560" w:lineRule="exact"/>
        <w:ind w:firstLine="0" w:firstLineChars="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附件四</w:t>
      </w:r>
    </w:p>
    <w:p w14:paraId="28A0A790">
      <w:pPr>
        <w:keepNext w:val="0"/>
        <w:keepLines w:val="0"/>
        <w:pageBreakBefore w:val="0"/>
        <w:tabs>
          <w:tab w:val="left" w:pos="7684"/>
        </w:tabs>
        <w:kinsoku/>
        <w:wordWrap/>
        <w:overflowPunct/>
        <w:topLinePunct w:val="0"/>
        <w:autoSpaceDE/>
        <w:autoSpaceDN/>
        <w:bidi w:val="0"/>
        <w:spacing w:line="560" w:lineRule="exact"/>
        <w:jc w:val="center"/>
        <w:rPr>
          <w:rFonts w:hint="eastAsia" w:ascii="仿宋" w:hAnsi="仿宋" w:eastAsia="仿宋" w:cs="仿宋"/>
          <w:sz w:val="28"/>
          <w:szCs w:val="28"/>
        </w:rPr>
      </w:pPr>
      <w:r>
        <w:rPr>
          <w:rStyle w:val="165"/>
          <w:rFonts w:hint="eastAsia" w:ascii="仿宋" w:hAnsi="仿宋" w:eastAsia="仿宋" w:cs="仿宋"/>
          <w:b/>
          <w:sz w:val="28"/>
          <w:szCs w:val="28"/>
        </w:rPr>
        <w:t>《安全管理制度》</w:t>
      </w:r>
    </w:p>
    <w:p w14:paraId="54A79D62">
      <w:pPr>
        <w:keepNext w:val="0"/>
        <w:keepLines w:val="0"/>
        <w:pageBreakBefore w:val="0"/>
        <w:numPr>
          <w:ilvl w:val="0"/>
          <w:numId w:val="19"/>
        </w:numPr>
        <w:kinsoku/>
        <w:wordWrap/>
        <w:overflowPunct/>
        <w:topLinePunct w:val="0"/>
        <w:autoSpaceDE/>
        <w:autoSpaceDN/>
        <w:bidi w:val="0"/>
        <w:spacing w:line="560" w:lineRule="exact"/>
        <w:rPr>
          <w:rFonts w:hint="eastAsia" w:ascii="仿宋" w:hAnsi="仿宋" w:eastAsia="仿宋" w:cs="仿宋"/>
          <w:b/>
          <w:bCs/>
          <w:sz w:val="28"/>
          <w:szCs w:val="28"/>
        </w:rPr>
      </w:pPr>
      <w:r>
        <w:rPr>
          <w:rFonts w:hint="eastAsia" w:ascii="仿宋" w:hAnsi="仿宋" w:eastAsia="仿宋" w:cs="仿宋"/>
          <w:b/>
          <w:bCs/>
          <w:sz w:val="28"/>
          <w:szCs w:val="28"/>
        </w:rPr>
        <w:t>总则</w:t>
      </w:r>
    </w:p>
    <w:p w14:paraId="0AAA680D">
      <w:pPr>
        <w:keepNext w:val="0"/>
        <w:keepLines w:val="0"/>
        <w:pageBreakBefore w:val="0"/>
        <w:kinsoku/>
        <w:wordWrap/>
        <w:overflowPunct/>
        <w:topLinePunct w:val="0"/>
        <w:autoSpaceDE/>
        <w:autoSpaceDN/>
        <w:bidi w:val="0"/>
        <w:spacing w:line="560" w:lineRule="exact"/>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为确保</w:t>
      </w:r>
      <w:r>
        <w:rPr>
          <w:rFonts w:hint="eastAsia" w:ascii="仿宋" w:hAnsi="仿宋" w:eastAsia="仿宋" w:cs="仿宋"/>
          <w:sz w:val="28"/>
          <w:szCs w:val="28"/>
          <w:lang w:eastAsia="zh-CN"/>
        </w:rPr>
        <w:t>研修</w:t>
      </w:r>
      <w:r>
        <w:rPr>
          <w:rFonts w:hint="eastAsia" w:ascii="仿宋" w:hAnsi="仿宋" w:eastAsia="仿宋" w:cs="仿宋"/>
          <w:sz w:val="28"/>
          <w:szCs w:val="28"/>
        </w:rPr>
        <w:t>活动的安全、有序进行，保护师生的人身和财产安全，本企业特制定详细的安全管理制度。</w:t>
      </w:r>
    </w:p>
    <w:p w14:paraId="00467CE5">
      <w:pPr>
        <w:keepNext w:val="0"/>
        <w:keepLines w:val="0"/>
        <w:pageBreakBefore w:val="0"/>
        <w:numPr>
          <w:ilvl w:val="0"/>
          <w:numId w:val="19"/>
        </w:numPr>
        <w:kinsoku/>
        <w:wordWrap/>
        <w:overflowPunct/>
        <w:topLinePunct w:val="0"/>
        <w:autoSpaceDE/>
        <w:autoSpaceDN/>
        <w:bidi w:val="0"/>
        <w:spacing w:line="560" w:lineRule="exact"/>
        <w:rPr>
          <w:rFonts w:hint="eastAsia" w:ascii="仿宋" w:hAnsi="仿宋" w:eastAsia="仿宋" w:cs="仿宋"/>
          <w:b/>
          <w:bCs/>
          <w:sz w:val="28"/>
          <w:szCs w:val="28"/>
        </w:rPr>
      </w:pPr>
      <w:r>
        <w:rPr>
          <w:rFonts w:hint="eastAsia" w:ascii="仿宋" w:hAnsi="仿宋" w:eastAsia="仿宋" w:cs="仿宋"/>
          <w:b/>
          <w:bCs/>
          <w:sz w:val="28"/>
          <w:szCs w:val="28"/>
        </w:rPr>
        <w:t>准备工作</w:t>
      </w:r>
    </w:p>
    <w:p w14:paraId="35087691">
      <w:pPr>
        <w:keepNext w:val="0"/>
        <w:keepLines w:val="0"/>
        <w:pageBreakBefore w:val="0"/>
        <w:numPr>
          <w:ilvl w:val="0"/>
          <w:numId w:val="20"/>
        </w:numPr>
        <w:kinsoku/>
        <w:wordWrap/>
        <w:overflowPunct/>
        <w:topLinePunct w:val="0"/>
        <w:autoSpaceDE/>
        <w:autoSpaceDN/>
        <w:bidi w:val="0"/>
        <w:spacing w:line="560" w:lineRule="exact"/>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研活动方案制定：明确活动的目标、时间、地点、参与人员、活动内容及流程，并对每个环节进行安全风险评估，制定相应的安全措施。</w:t>
      </w:r>
    </w:p>
    <w:p w14:paraId="0DDE80BA">
      <w:pPr>
        <w:keepNext w:val="0"/>
        <w:keepLines w:val="0"/>
        <w:pageBreakBefore w:val="0"/>
        <w:numPr>
          <w:ilvl w:val="0"/>
          <w:numId w:val="20"/>
        </w:numPr>
        <w:kinsoku/>
        <w:wordWrap/>
        <w:overflowPunct/>
        <w:topLinePunct w:val="0"/>
        <w:autoSpaceDE/>
        <w:autoSpaceDN/>
        <w:bidi w:val="0"/>
        <w:spacing w:line="560" w:lineRule="exact"/>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场地安全检查：在活动开始前，对活动场地进行全面检查，确保场地安全、设施完好，并符合相关安全规定。</w:t>
      </w:r>
    </w:p>
    <w:p w14:paraId="711420E6">
      <w:pPr>
        <w:keepNext w:val="0"/>
        <w:keepLines w:val="0"/>
        <w:pageBreakBefore w:val="0"/>
        <w:numPr>
          <w:ilvl w:val="0"/>
          <w:numId w:val="20"/>
        </w:numPr>
        <w:kinsoku/>
        <w:wordWrap/>
        <w:overflowPunct/>
        <w:topLinePunct w:val="0"/>
        <w:autoSpaceDE/>
        <w:autoSpaceDN/>
        <w:bidi w:val="0"/>
        <w:spacing w:line="560" w:lineRule="exact"/>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人员安排：根据活动需要，合理配置领队、教师、安全管理人员等，明确各自职责，确保活动顺利进行。</w:t>
      </w:r>
    </w:p>
    <w:p w14:paraId="5BA72ED5">
      <w:pPr>
        <w:keepNext w:val="0"/>
        <w:keepLines w:val="0"/>
        <w:pageBreakBefore w:val="0"/>
        <w:numPr>
          <w:ilvl w:val="0"/>
          <w:numId w:val="20"/>
        </w:numPr>
        <w:kinsoku/>
        <w:wordWrap/>
        <w:overflowPunct/>
        <w:topLinePunct w:val="0"/>
        <w:autoSpaceDE/>
        <w:autoSpaceDN/>
        <w:bidi w:val="0"/>
        <w:spacing w:line="560" w:lineRule="exact"/>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物资准备：准备必要的医疗急救用品、安全警示标识等，以备不时之需。</w:t>
      </w:r>
    </w:p>
    <w:p w14:paraId="29DC2F0F">
      <w:pPr>
        <w:keepNext w:val="0"/>
        <w:keepLines w:val="0"/>
        <w:pageBreakBefore w:val="0"/>
        <w:numPr>
          <w:ilvl w:val="0"/>
          <w:numId w:val="20"/>
        </w:numPr>
        <w:kinsoku/>
        <w:wordWrap/>
        <w:overflowPunct/>
        <w:topLinePunct w:val="0"/>
        <w:autoSpaceDE/>
        <w:autoSpaceDN/>
        <w:bidi w:val="0"/>
        <w:spacing w:line="560" w:lineRule="exact"/>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通知与培训：</w:t>
      </w:r>
      <w:r>
        <w:rPr>
          <w:rFonts w:hint="eastAsia" w:ascii="仿宋" w:hAnsi="仿宋" w:eastAsia="仿宋" w:cs="仿宋"/>
          <w:sz w:val="28"/>
          <w:szCs w:val="28"/>
          <w:lang w:val="en-US" w:eastAsia="zh-CN"/>
        </w:rPr>
        <w:t>配合或者组织方</w:t>
      </w:r>
      <w:r>
        <w:rPr>
          <w:rFonts w:hint="eastAsia" w:ascii="仿宋" w:hAnsi="仿宋" w:eastAsia="仿宋" w:cs="仿宋"/>
          <w:sz w:val="28"/>
          <w:szCs w:val="28"/>
        </w:rPr>
        <w:t>向参与人员</w:t>
      </w:r>
      <w:r>
        <w:rPr>
          <w:rFonts w:hint="eastAsia" w:ascii="仿宋" w:hAnsi="仿宋" w:eastAsia="仿宋" w:cs="仿宋"/>
          <w:sz w:val="28"/>
          <w:szCs w:val="28"/>
          <w:lang w:val="en-US" w:eastAsia="zh-CN"/>
        </w:rPr>
        <w:t>发送活动通知，</w:t>
      </w:r>
      <w:r>
        <w:rPr>
          <w:rFonts w:hint="eastAsia" w:ascii="仿宋" w:hAnsi="仿宋" w:eastAsia="仿宋" w:cs="仿宋"/>
          <w:sz w:val="28"/>
          <w:szCs w:val="28"/>
        </w:rPr>
        <w:t>明确安全要求，并进行安全教育培训，提高安全意识。</w:t>
      </w:r>
    </w:p>
    <w:p w14:paraId="21205D1A">
      <w:pPr>
        <w:keepNext w:val="0"/>
        <w:keepLines w:val="0"/>
        <w:pageBreakBefore w:val="0"/>
        <w:numPr>
          <w:ilvl w:val="0"/>
          <w:numId w:val="19"/>
        </w:numPr>
        <w:kinsoku/>
        <w:wordWrap/>
        <w:overflowPunct/>
        <w:topLinePunct w:val="0"/>
        <w:autoSpaceDE/>
        <w:autoSpaceDN/>
        <w:bidi w:val="0"/>
        <w:spacing w:line="560" w:lineRule="exact"/>
        <w:rPr>
          <w:rFonts w:hint="eastAsia" w:ascii="仿宋" w:hAnsi="仿宋" w:eastAsia="仿宋" w:cs="仿宋"/>
          <w:b/>
          <w:bCs/>
          <w:sz w:val="28"/>
          <w:szCs w:val="28"/>
        </w:rPr>
      </w:pPr>
      <w:r>
        <w:rPr>
          <w:rFonts w:hint="eastAsia" w:ascii="仿宋" w:hAnsi="仿宋" w:eastAsia="仿宋" w:cs="仿宋"/>
          <w:b/>
          <w:bCs/>
          <w:sz w:val="28"/>
          <w:szCs w:val="28"/>
        </w:rPr>
        <w:t>实施步骤</w:t>
      </w:r>
    </w:p>
    <w:p w14:paraId="6FF11C41">
      <w:pPr>
        <w:keepNext w:val="0"/>
        <w:keepLines w:val="0"/>
        <w:pageBreakBefore w:val="0"/>
        <w:numPr>
          <w:ilvl w:val="0"/>
          <w:numId w:val="20"/>
        </w:numPr>
        <w:kinsoku/>
        <w:wordWrap/>
        <w:overflowPunct/>
        <w:topLinePunct w:val="0"/>
        <w:autoSpaceDE/>
        <w:autoSpaceDN/>
        <w:bidi w:val="0"/>
        <w:spacing w:line="560" w:lineRule="exact"/>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集合与签到：在活动开始前，组织参与人员集合，进行签到，确保人员到位。</w:t>
      </w:r>
    </w:p>
    <w:p w14:paraId="75CE9568">
      <w:pPr>
        <w:keepNext w:val="0"/>
        <w:keepLines w:val="0"/>
        <w:pageBreakBefore w:val="0"/>
        <w:numPr>
          <w:ilvl w:val="0"/>
          <w:numId w:val="20"/>
        </w:numPr>
        <w:kinsoku/>
        <w:wordWrap/>
        <w:overflowPunct/>
        <w:topLinePunct w:val="0"/>
        <w:autoSpaceDE/>
        <w:autoSpaceDN/>
        <w:bidi w:val="0"/>
        <w:spacing w:line="560" w:lineRule="exact"/>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安全宣导：在活动开始前，由</w:t>
      </w:r>
      <w:r>
        <w:rPr>
          <w:rFonts w:hint="eastAsia" w:ascii="仿宋" w:hAnsi="仿宋" w:eastAsia="仿宋" w:cs="仿宋"/>
          <w:sz w:val="28"/>
          <w:szCs w:val="28"/>
          <w:lang w:val="en-US" w:eastAsia="zh-CN"/>
        </w:rPr>
        <w:t>带队研修导师或</w:t>
      </w:r>
      <w:r>
        <w:rPr>
          <w:rFonts w:hint="eastAsia" w:ascii="仿宋" w:hAnsi="仿宋" w:eastAsia="仿宋" w:cs="仿宋"/>
          <w:sz w:val="28"/>
          <w:szCs w:val="28"/>
        </w:rPr>
        <w:t>安全管理人员进行安全宣导，强调安全注意事项，确保参与人员了解并遵守。</w:t>
      </w:r>
    </w:p>
    <w:p w14:paraId="33B069C3">
      <w:pPr>
        <w:keepNext w:val="0"/>
        <w:keepLines w:val="0"/>
        <w:pageBreakBefore w:val="0"/>
        <w:numPr>
          <w:ilvl w:val="0"/>
          <w:numId w:val="20"/>
        </w:numPr>
        <w:kinsoku/>
        <w:wordWrap/>
        <w:overflowPunct/>
        <w:topLinePunct w:val="0"/>
        <w:autoSpaceDE/>
        <w:autoSpaceDN/>
        <w:bidi w:val="0"/>
        <w:spacing w:line="560" w:lineRule="exact"/>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活动开展：按照活动方案，有序开展</w:t>
      </w:r>
      <w:r>
        <w:rPr>
          <w:rFonts w:hint="eastAsia" w:ascii="仿宋" w:hAnsi="仿宋" w:eastAsia="仿宋" w:cs="仿宋"/>
          <w:sz w:val="28"/>
          <w:szCs w:val="28"/>
          <w:lang w:eastAsia="zh-CN"/>
        </w:rPr>
        <w:t>研修</w:t>
      </w:r>
      <w:r>
        <w:rPr>
          <w:rFonts w:hint="eastAsia" w:ascii="仿宋" w:hAnsi="仿宋" w:eastAsia="仿宋" w:cs="仿宋"/>
          <w:sz w:val="28"/>
          <w:szCs w:val="28"/>
        </w:rPr>
        <w:t>活动，注意观察参与人员的身体状况，及时处理突发情况。</w:t>
      </w:r>
    </w:p>
    <w:p w14:paraId="1F75C534">
      <w:pPr>
        <w:keepNext w:val="0"/>
        <w:keepLines w:val="0"/>
        <w:pageBreakBefore w:val="0"/>
        <w:numPr>
          <w:ilvl w:val="0"/>
          <w:numId w:val="20"/>
        </w:numPr>
        <w:kinsoku/>
        <w:wordWrap/>
        <w:overflowPunct/>
        <w:topLinePunct w:val="0"/>
        <w:autoSpaceDE/>
        <w:autoSpaceDN/>
        <w:bidi w:val="0"/>
        <w:spacing w:line="560" w:lineRule="exact"/>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监控与巡查：安全管理人员在活动过程中进行监控与巡查，确保活动安全有序进行。</w:t>
      </w:r>
    </w:p>
    <w:p w14:paraId="55E220BF">
      <w:pPr>
        <w:keepNext w:val="0"/>
        <w:keepLines w:val="0"/>
        <w:pageBreakBefore w:val="0"/>
        <w:numPr>
          <w:ilvl w:val="0"/>
          <w:numId w:val="20"/>
        </w:numPr>
        <w:kinsoku/>
        <w:wordWrap/>
        <w:overflowPunct/>
        <w:topLinePunct w:val="0"/>
        <w:autoSpaceDE/>
        <w:autoSpaceDN/>
        <w:bidi w:val="0"/>
        <w:spacing w:line="560" w:lineRule="exact"/>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结束与总结：活动结束后，组织参与人员集合，进行活动总结，并强调安全注意事项。</w:t>
      </w:r>
    </w:p>
    <w:p w14:paraId="51E333B1">
      <w:pPr>
        <w:keepNext w:val="0"/>
        <w:keepLines w:val="0"/>
        <w:pageBreakBefore w:val="0"/>
        <w:numPr>
          <w:ilvl w:val="0"/>
          <w:numId w:val="19"/>
        </w:numPr>
        <w:kinsoku/>
        <w:wordWrap/>
        <w:overflowPunct/>
        <w:topLinePunct w:val="0"/>
        <w:autoSpaceDE/>
        <w:autoSpaceDN/>
        <w:bidi w:val="0"/>
        <w:spacing w:line="560" w:lineRule="exact"/>
        <w:rPr>
          <w:rFonts w:hint="eastAsia" w:ascii="仿宋" w:hAnsi="仿宋" w:eastAsia="仿宋" w:cs="仿宋"/>
          <w:b/>
          <w:bCs/>
          <w:sz w:val="28"/>
          <w:szCs w:val="28"/>
        </w:rPr>
      </w:pPr>
      <w:r>
        <w:rPr>
          <w:rFonts w:hint="eastAsia" w:ascii="仿宋" w:hAnsi="仿宋" w:eastAsia="仿宋" w:cs="仿宋"/>
          <w:b/>
          <w:bCs/>
          <w:sz w:val="28"/>
          <w:szCs w:val="28"/>
        </w:rPr>
        <w:t>应急措施</w:t>
      </w:r>
    </w:p>
    <w:p w14:paraId="01B041DB">
      <w:pPr>
        <w:keepNext w:val="0"/>
        <w:keepLines w:val="0"/>
        <w:pageBreakBefore w:val="0"/>
        <w:numPr>
          <w:ilvl w:val="0"/>
          <w:numId w:val="20"/>
        </w:numPr>
        <w:kinsoku/>
        <w:wordWrap/>
        <w:overflowPunct/>
        <w:topLinePunct w:val="0"/>
        <w:autoSpaceDE/>
        <w:autoSpaceDN/>
        <w:bidi w:val="0"/>
        <w:spacing w:line="560" w:lineRule="exact"/>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制定应急预案：针对可能出现的突发情况，制定详细的应急预案，明确应急处理流程、责任人及联系方式等。</w:t>
      </w:r>
    </w:p>
    <w:p w14:paraId="7EC0A8E8">
      <w:pPr>
        <w:keepNext w:val="0"/>
        <w:keepLines w:val="0"/>
        <w:pageBreakBefore w:val="0"/>
        <w:numPr>
          <w:ilvl w:val="0"/>
          <w:numId w:val="20"/>
        </w:numPr>
        <w:kinsoku/>
        <w:wordWrap/>
        <w:overflowPunct/>
        <w:topLinePunct w:val="0"/>
        <w:autoSpaceDE/>
        <w:autoSpaceDN/>
        <w:bidi w:val="0"/>
        <w:spacing w:line="560" w:lineRule="exact"/>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应急演练：定期组织应急演练，提高参与人员的应急处理能力，确保在突发情况下能够迅速、有效地应对。</w:t>
      </w:r>
    </w:p>
    <w:p w14:paraId="0024306A">
      <w:pPr>
        <w:keepNext w:val="0"/>
        <w:keepLines w:val="0"/>
        <w:pageBreakBefore w:val="0"/>
        <w:numPr>
          <w:ilvl w:val="0"/>
          <w:numId w:val="20"/>
        </w:numPr>
        <w:kinsoku/>
        <w:wordWrap/>
        <w:overflowPunct/>
        <w:topLinePunct w:val="0"/>
        <w:autoSpaceDE/>
        <w:autoSpaceDN/>
        <w:bidi w:val="0"/>
        <w:spacing w:line="560" w:lineRule="exact"/>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紧急疏散：在活动场地设置明显的安全出口和疏散标识，确保在紧急情况下参与人员能够迅速疏散。</w:t>
      </w:r>
    </w:p>
    <w:p w14:paraId="7FAC3E2C">
      <w:pPr>
        <w:keepNext w:val="0"/>
        <w:keepLines w:val="0"/>
        <w:pageBreakBefore w:val="0"/>
        <w:numPr>
          <w:ilvl w:val="0"/>
          <w:numId w:val="20"/>
        </w:numPr>
        <w:kinsoku/>
        <w:wordWrap/>
        <w:overflowPunct/>
        <w:topLinePunct w:val="0"/>
        <w:autoSpaceDE/>
        <w:autoSpaceDN/>
        <w:bidi w:val="0"/>
        <w:spacing w:line="560" w:lineRule="exact"/>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医疗救护：在活动现场设置医疗急救点</w:t>
      </w:r>
      <w:r>
        <w:rPr>
          <w:rFonts w:hint="eastAsia" w:ascii="仿宋" w:hAnsi="仿宋" w:eastAsia="仿宋" w:cs="仿宋"/>
          <w:sz w:val="28"/>
          <w:szCs w:val="28"/>
          <w:lang w:val="en-US" w:eastAsia="zh-CN"/>
        </w:rPr>
        <w:t>或配备随行医护人员</w:t>
      </w:r>
      <w:r>
        <w:rPr>
          <w:rFonts w:hint="eastAsia" w:ascii="仿宋" w:hAnsi="仿宋" w:eastAsia="仿宋" w:cs="仿宋"/>
          <w:sz w:val="28"/>
          <w:szCs w:val="28"/>
        </w:rPr>
        <w:t>，配备必要的医疗设备和药品，确保在意外情况下能够及时救治。</w:t>
      </w:r>
    </w:p>
    <w:p w14:paraId="69C324BD">
      <w:pPr>
        <w:keepNext w:val="0"/>
        <w:keepLines w:val="0"/>
        <w:pageBreakBefore w:val="0"/>
        <w:numPr>
          <w:ilvl w:val="0"/>
          <w:numId w:val="19"/>
        </w:numPr>
        <w:kinsoku/>
        <w:wordWrap/>
        <w:overflowPunct/>
        <w:topLinePunct w:val="0"/>
        <w:autoSpaceDE/>
        <w:autoSpaceDN/>
        <w:bidi w:val="0"/>
        <w:spacing w:line="560" w:lineRule="exact"/>
        <w:rPr>
          <w:rFonts w:hint="eastAsia" w:ascii="仿宋" w:hAnsi="仿宋" w:eastAsia="仿宋" w:cs="仿宋"/>
          <w:b/>
          <w:bCs/>
          <w:sz w:val="28"/>
          <w:szCs w:val="28"/>
        </w:rPr>
      </w:pPr>
      <w:r>
        <w:rPr>
          <w:rFonts w:hint="eastAsia" w:ascii="仿宋" w:hAnsi="仿宋" w:eastAsia="仿宋" w:cs="仿宋"/>
          <w:b/>
          <w:bCs/>
          <w:sz w:val="28"/>
          <w:szCs w:val="28"/>
        </w:rPr>
        <w:t>危险品管理</w:t>
      </w:r>
    </w:p>
    <w:p w14:paraId="30CA3B93">
      <w:pPr>
        <w:keepNext w:val="0"/>
        <w:keepLines w:val="0"/>
        <w:pageBreakBefore w:val="0"/>
        <w:numPr>
          <w:ilvl w:val="0"/>
          <w:numId w:val="20"/>
        </w:numPr>
        <w:kinsoku/>
        <w:wordWrap/>
        <w:overflowPunct/>
        <w:topLinePunct w:val="0"/>
        <w:autoSpaceDE/>
        <w:autoSpaceDN/>
        <w:bidi w:val="0"/>
        <w:spacing w:line="560" w:lineRule="exact"/>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危险品识别：对</w:t>
      </w:r>
      <w:r>
        <w:rPr>
          <w:rFonts w:hint="eastAsia" w:ascii="仿宋" w:hAnsi="仿宋" w:eastAsia="仿宋" w:cs="仿宋"/>
          <w:sz w:val="28"/>
          <w:szCs w:val="28"/>
          <w:lang w:eastAsia="zh-CN"/>
        </w:rPr>
        <w:t>研修</w:t>
      </w:r>
      <w:r>
        <w:rPr>
          <w:rFonts w:hint="eastAsia" w:ascii="仿宋" w:hAnsi="仿宋" w:eastAsia="仿宋" w:cs="仿宋"/>
          <w:sz w:val="28"/>
          <w:szCs w:val="28"/>
        </w:rPr>
        <w:t>活动中可能涉及的危险品进行识别，明确其性质、危害及安全操作规程。</w:t>
      </w:r>
    </w:p>
    <w:p w14:paraId="112E5B53">
      <w:pPr>
        <w:keepNext w:val="0"/>
        <w:keepLines w:val="0"/>
        <w:pageBreakBefore w:val="0"/>
        <w:numPr>
          <w:ilvl w:val="0"/>
          <w:numId w:val="20"/>
        </w:numPr>
        <w:kinsoku/>
        <w:wordWrap/>
        <w:overflowPunct/>
        <w:topLinePunct w:val="0"/>
        <w:autoSpaceDE/>
        <w:autoSpaceDN/>
        <w:bidi w:val="0"/>
        <w:spacing w:line="560" w:lineRule="exact"/>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危险品存放：设立专门的危险品存放区域，按照相关规定进行存放，确保危险品安全。</w:t>
      </w:r>
    </w:p>
    <w:p w14:paraId="64B52513">
      <w:pPr>
        <w:keepNext w:val="0"/>
        <w:keepLines w:val="0"/>
        <w:pageBreakBefore w:val="0"/>
        <w:numPr>
          <w:ilvl w:val="0"/>
          <w:numId w:val="20"/>
        </w:numPr>
        <w:kinsoku/>
        <w:wordWrap/>
        <w:overflowPunct/>
        <w:topLinePunct w:val="0"/>
        <w:autoSpaceDE/>
        <w:autoSpaceDN/>
        <w:bidi w:val="0"/>
        <w:spacing w:line="560" w:lineRule="exact"/>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危险品使用：在使用危险品时，严格按照操作规程进行，确保使用安全。</w:t>
      </w:r>
    </w:p>
    <w:p w14:paraId="0E48E7BB">
      <w:pPr>
        <w:keepNext w:val="0"/>
        <w:keepLines w:val="0"/>
        <w:pageBreakBefore w:val="0"/>
        <w:numPr>
          <w:ilvl w:val="0"/>
          <w:numId w:val="20"/>
        </w:numPr>
        <w:kinsoku/>
        <w:wordWrap/>
        <w:overflowPunct/>
        <w:topLinePunct w:val="0"/>
        <w:autoSpaceDE/>
        <w:autoSpaceDN/>
        <w:bidi w:val="0"/>
        <w:spacing w:line="560" w:lineRule="exact"/>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危险品处理：对使用后的危险品进行妥善处理，避免对环境造成污染或危害。</w:t>
      </w:r>
    </w:p>
    <w:p w14:paraId="0ECDAD9A">
      <w:pPr>
        <w:keepNext w:val="0"/>
        <w:keepLines w:val="0"/>
        <w:pageBreakBefore w:val="0"/>
        <w:numPr>
          <w:ilvl w:val="0"/>
          <w:numId w:val="19"/>
        </w:numPr>
        <w:kinsoku/>
        <w:wordWrap/>
        <w:overflowPunct/>
        <w:topLinePunct w:val="0"/>
        <w:autoSpaceDE/>
        <w:autoSpaceDN/>
        <w:bidi w:val="0"/>
        <w:spacing w:line="560" w:lineRule="exact"/>
        <w:rPr>
          <w:rFonts w:hint="eastAsia" w:ascii="仿宋" w:hAnsi="仿宋" w:eastAsia="仿宋" w:cs="仿宋"/>
          <w:b/>
          <w:bCs/>
          <w:sz w:val="28"/>
          <w:szCs w:val="28"/>
        </w:rPr>
      </w:pPr>
      <w:r>
        <w:rPr>
          <w:rFonts w:hint="eastAsia" w:ascii="仿宋" w:hAnsi="仿宋" w:eastAsia="仿宋" w:cs="仿宋"/>
          <w:b/>
          <w:bCs/>
          <w:sz w:val="28"/>
          <w:szCs w:val="28"/>
        </w:rPr>
        <w:t>安全管理责任</w:t>
      </w:r>
    </w:p>
    <w:p w14:paraId="163CF1E4">
      <w:pPr>
        <w:keepNext w:val="0"/>
        <w:keepLines w:val="0"/>
        <w:pageBreakBefore w:val="0"/>
        <w:numPr>
          <w:ilvl w:val="0"/>
          <w:numId w:val="20"/>
        </w:numPr>
        <w:kinsoku/>
        <w:wordWrap/>
        <w:overflowPunct/>
        <w:topLinePunct w:val="0"/>
        <w:autoSpaceDE/>
        <w:autoSpaceDN/>
        <w:bidi w:val="0"/>
        <w:spacing w:line="560" w:lineRule="exact"/>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企业领导层：对企业安全管理负总责，确保安全管理制度的制定、执行和持续改进。</w:t>
      </w:r>
    </w:p>
    <w:p w14:paraId="2C2C708B">
      <w:pPr>
        <w:keepNext w:val="0"/>
        <w:keepLines w:val="0"/>
        <w:pageBreakBefore w:val="0"/>
        <w:numPr>
          <w:ilvl w:val="0"/>
          <w:numId w:val="20"/>
        </w:numPr>
        <w:kinsoku/>
        <w:wordWrap/>
        <w:overflowPunct/>
        <w:topLinePunct w:val="0"/>
        <w:autoSpaceDE/>
        <w:autoSpaceDN/>
        <w:bidi w:val="0"/>
        <w:spacing w:line="560" w:lineRule="exact"/>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安全管理部门：负责安全管理制度的具体实施和监督，定期组织安全检查、隐患排查和整改工作。</w:t>
      </w:r>
    </w:p>
    <w:p w14:paraId="64C3C148">
      <w:pPr>
        <w:keepNext w:val="0"/>
        <w:keepLines w:val="0"/>
        <w:pageBreakBefore w:val="0"/>
        <w:numPr>
          <w:ilvl w:val="0"/>
          <w:numId w:val="20"/>
        </w:numPr>
        <w:kinsoku/>
        <w:wordWrap/>
        <w:overflowPunct/>
        <w:topLinePunct w:val="0"/>
        <w:autoSpaceDE/>
        <w:autoSpaceDN/>
        <w:bidi w:val="0"/>
        <w:spacing w:line="560" w:lineRule="exact"/>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各部门负责人：对本部门的安全管理负责，确保本部门员工遵守安全管理制度和操作规程。</w:t>
      </w:r>
    </w:p>
    <w:p w14:paraId="0EEA94EF">
      <w:pPr>
        <w:keepNext w:val="0"/>
        <w:keepLines w:val="0"/>
        <w:pageBreakBefore w:val="0"/>
        <w:numPr>
          <w:ilvl w:val="0"/>
          <w:numId w:val="20"/>
        </w:numPr>
        <w:kinsoku/>
        <w:wordWrap/>
        <w:overflowPunct/>
        <w:topLinePunct w:val="0"/>
        <w:autoSpaceDE/>
        <w:autoSpaceDN/>
        <w:bidi w:val="0"/>
        <w:spacing w:line="560" w:lineRule="exact"/>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员工：自觉遵守安全管理制度和操作规程，提高安全意识，发现安全隐患及时上报并配合整改。</w:t>
      </w:r>
    </w:p>
    <w:p w14:paraId="5D77E43B">
      <w:pPr>
        <w:keepNext w:val="0"/>
        <w:keepLines w:val="0"/>
        <w:pageBreakBefore w:val="0"/>
        <w:numPr>
          <w:ilvl w:val="0"/>
          <w:numId w:val="19"/>
        </w:numPr>
        <w:kinsoku/>
        <w:wordWrap/>
        <w:overflowPunct/>
        <w:topLinePunct w:val="0"/>
        <w:autoSpaceDE/>
        <w:autoSpaceDN/>
        <w:bidi w:val="0"/>
        <w:spacing w:line="560" w:lineRule="exact"/>
        <w:rPr>
          <w:rFonts w:hint="eastAsia" w:ascii="仿宋" w:hAnsi="仿宋" w:eastAsia="仿宋" w:cs="仿宋"/>
          <w:b/>
          <w:bCs/>
          <w:sz w:val="28"/>
          <w:szCs w:val="28"/>
        </w:rPr>
      </w:pPr>
      <w:r>
        <w:rPr>
          <w:rFonts w:hint="eastAsia" w:ascii="仿宋" w:hAnsi="仿宋" w:eastAsia="仿宋" w:cs="仿宋"/>
          <w:b/>
          <w:bCs/>
          <w:sz w:val="28"/>
          <w:szCs w:val="28"/>
        </w:rPr>
        <w:t>监督与考核</w:t>
      </w:r>
    </w:p>
    <w:p w14:paraId="6C20EDB1">
      <w:pPr>
        <w:keepNext w:val="0"/>
        <w:keepLines w:val="0"/>
        <w:pageBreakBefore w:val="0"/>
        <w:numPr>
          <w:ilvl w:val="0"/>
          <w:numId w:val="20"/>
        </w:numPr>
        <w:kinsoku/>
        <w:wordWrap/>
        <w:overflowPunct/>
        <w:topLinePunct w:val="0"/>
        <w:autoSpaceDE/>
        <w:autoSpaceDN/>
        <w:bidi w:val="0"/>
        <w:spacing w:line="560" w:lineRule="exact"/>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建立安全管理监督考核机制，对安全管理工作的落实情况进行定期检查和评估。</w:t>
      </w:r>
    </w:p>
    <w:p w14:paraId="44C0666C">
      <w:pPr>
        <w:keepNext w:val="0"/>
        <w:keepLines w:val="0"/>
        <w:pageBreakBefore w:val="0"/>
        <w:numPr>
          <w:ilvl w:val="0"/>
          <w:numId w:val="20"/>
        </w:numPr>
        <w:kinsoku/>
        <w:wordWrap/>
        <w:overflowPunct/>
        <w:topLinePunct w:val="0"/>
        <w:autoSpaceDE/>
        <w:autoSpaceDN/>
        <w:bidi w:val="0"/>
        <w:spacing w:line="560" w:lineRule="exact"/>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对安全管理工作表现突出的部门和个人给予表彰和奖励，对违反安全管理制度的行为进行严肃处理。</w:t>
      </w:r>
    </w:p>
    <w:p w14:paraId="168A9083">
      <w:pPr>
        <w:keepNext w:val="0"/>
        <w:keepLines w:val="0"/>
        <w:pageBreakBefore w:val="0"/>
        <w:numPr>
          <w:ilvl w:val="0"/>
          <w:numId w:val="20"/>
        </w:numPr>
        <w:kinsoku/>
        <w:wordWrap/>
        <w:overflowPunct/>
        <w:topLinePunct w:val="0"/>
        <w:autoSpaceDE/>
        <w:autoSpaceDN/>
        <w:bidi w:val="0"/>
        <w:spacing w:line="560" w:lineRule="exact"/>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通过本安全管理制度的实施，旨在全面保障</w:t>
      </w:r>
      <w:r>
        <w:rPr>
          <w:rFonts w:hint="eastAsia" w:ascii="仿宋" w:hAnsi="仿宋" w:eastAsia="仿宋" w:cs="仿宋"/>
          <w:sz w:val="28"/>
          <w:szCs w:val="28"/>
          <w:lang w:eastAsia="zh-CN"/>
        </w:rPr>
        <w:t>研修</w:t>
      </w:r>
      <w:r>
        <w:rPr>
          <w:rFonts w:hint="eastAsia" w:ascii="仿宋" w:hAnsi="仿宋" w:eastAsia="仿宋" w:cs="仿宋"/>
          <w:sz w:val="28"/>
          <w:szCs w:val="28"/>
        </w:rPr>
        <w:t>活动的安全顺利进行，为师生创造一个安全、有序、健康的</w:t>
      </w:r>
      <w:r>
        <w:rPr>
          <w:rFonts w:hint="eastAsia" w:ascii="仿宋" w:hAnsi="仿宋" w:eastAsia="仿宋" w:cs="仿宋"/>
          <w:sz w:val="28"/>
          <w:szCs w:val="28"/>
          <w:lang w:eastAsia="zh-CN"/>
        </w:rPr>
        <w:t>研修</w:t>
      </w:r>
      <w:r>
        <w:rPr>
          <w:rFonts w:hint="eastAsia" w:ascii="仿宋" w:hAnsi="仿宋" w:eastAsia="仿宋" w:cs="仿宋"/>
          <w:sz w:val="28"/>
          <w:szCs w:val="28"/>
        </w:rPr>
        <w:t>环境。</w:t>
      </w:r>
    </w:p>
    <w:p w14:paraId="41CFE6A8">
      <w:pPr>
        <w:keepNext w:val="0"/>
        <w:keepLines w:val="0"/>
        <w:pageBreakBefore w:val="0"/>
        <w:numPr>
          <w:ilvl w:val="0"/>
          <w:numId w:val="0"/>
        </w:numPr>
        <w:kinsoku/>
        <w:wordWrap/>
        <w:overflowPunct/>
        <w:topLinePunct w:val="0"/>
        <w:autoSpaceDE/>
        <w:autoSpaceDN/>
        <w:bidi w:val="0"/>
        <w:spacing w:line="560" w:lineRule="exact"/>
        <w:ind w:leftChars="200"/>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以下无</w:t>
      </w:r>
      <w:r>
        <w:rPr>
          <w:rFonts w:hint="eastAsia" w:ascii="仿宋" w:hAnsi="仿宋" w:eastAsia="仿宋" w:cs="仿宋"/>
          <w:sz w:val="28"/>
          <w:szCs w:val="28"/>
          <w:lang w:eastAsia="zh-CN"/>
        </w:rPr>
        <w:t>）</w:t>
      </w:r>
    </w:p>
    <w:p w14:paraId="5CF96F23">
      <w:pPr>
        <w:keepNext w:val="0"/>
        <w:keepLines w:val="0"/>
        <w:pageBreakBefore w:val="0"/>
        <w:kinsoku/>
        <w:wordWrap/>
        <w:overflowPunct/>
        <w:topLinePunct w:val="0"/>
        <w:autoSpaceDE/>
        <w:autoSpaceDN/>
        <w:bidi w:val="0"/>
        <w:spacing w:line="560" w:lineRule="exact"/>
        <w:ind w:firstLine="0" w:firstLineChars="0"/>
        <w:rPr>
          <w:rFonts w:hint="eastAsia" w:ascii="仿宋" w:hAnsi="仿宋" w:eastAsia="仿宋" w:cs="仿宋"/>
          <w:sz w:val="28"/>
          <w:szCs w:val="28"/>
        </w:rPr>
      </w:pPr>
      <w:r>
        <w:rPr>
          <w:rFonts w:hint="eastAsia" w:ascii="仿宋" w:hAnsi="仿宋" w:eastAsia="仿宋" w:cs="仿宋"/>
          <w:sz w:val="28"/>
          <w:szCs w:val="28"/>
        </w:rPr>
        <w:br w:type="page"/>
      </w:r>
    </w:p>
    <w:p w14:paraId="3971B646">
      <w:pPr>
        <w:keepNext w:val="0"/>
        <w:keepLines w:val="0"/>
        <w:pageBreakBefore w:val="0"/>
        <w:kinsoku/>
        <w:wordWrap/>
        <w:overflowPunct/>
        <w:topLinePunct w:val="0"/>
        <w:autoSpaceDE/>
        <w:autoSpaceDN/>
        <w:bidi w:val="0"/>
        <w:spacing w:line="560" w:lineRule="exact"/>
        <w:ind w:firstLine="0" w:firstLineChars="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附件五</w:t>
      </w:r>
    </w:p>
    <w:p w14:paraId="2F29ED85">
      <w:pPr>
        <w:keepNext w:val="0"/>
        <w:keepLines w:val="0"/>
        <w:pageBreakBefore w:val="0"/>
        <w:tabs>
          <w:tab w:val="left" w:pos="7684"/>
        </w:tabs>
        <w:kinsoku/>
        <w:wordWrap/>
        <w:overflowPunct/>
        <w:topLinePunct w:val="0"/>
        <w:autoSpaceDE/>
        <w:autoSpaceDN/>
        <w:bidi w:val="0"/>
        <w:spacing w:line="560" w:lineRule="exact"/>
        <w:jc w:val="center"/>
        <w:rPr>
          <w:rStyle w:val="165"/>
          <w:rFonts w:hint="eastAsia" w:ascii="仿宋" w:hAnsi="仿宋" w:eastAsia="仿宋" w:cs="仿宋"/>
          <w:b/>
          <w:sz w:val="28"/>
          <w:szCs w:val="28"/>
        </w:rPr>
      </w:pPr>
      <w:r>
        <w:rPr>
          <w:rStyle w:val="165"/>
          <w:rFonts w:hint="eastAsia" w:ascii="仿宋" w:hAnsi="仿宋" w:eastAsia="仿宋" w:cs="仿宋"/>
          <w:b/>
          <w:sz w:val="28"/>
          <w:szCs w:val="28"/>
        </w:rPr>
        <w:t>《突发事件处理预案》</w:t>
      </w:r>
    </w:p>
    <w:p w14:paraId="59C7D6AE">
      <w:pPr>
        <w:keepNext w:val="0"/>
        <w:keepLines w:val="0"/>
        <w:pageBreakBefore w:val="0"/>
        <w:kinsoku/>
        <w:wordWrap/>
        <w:overflowPunct/>
        <w:topLinePunct w:val="0"/>
        <w:autoSpaceDE/>
        <w:autoSpaceDN/>
        <w:bidi w:val="0"/>
        <w:spacing w:line="560" w:lineRule="exact"/>
        <w:rPr>
          <w:rFonts w:hint="eastAsia" w:ascii="仿宋" w:hAnsi="仿宋" w:eastAsia="仿宋" w:cs="仿宋"/>
          <w:b/>
          <w:sz w:val="28"/>
          <w:szCs w:val="28"/>
        </w:rPr>
      </w:pPr>
      <w:bookmarkStart w:id="0" w:name="_Toc414978741"/>
      <w:r>
        <w:rPr>
          <w:rFonts w:hint="eastAsia" w:ascii="仿宋" w:hAnsi="仿宋" w:eastAsia="仿宋" w:cs="仿宋"/>
          <w:b/>
          <w:sz w:val="28"/>
          <w:szCs w:val="28"/>
        </w:rPr>
        <w:t>制定目的</w:t>
      </w:r>
    </w:p>
    <w:bookmarkEnd w:id="0"/>
    <w:p w14:paraId="59B403C4">
      <w:pPr>
        <w:keepNext w:val="0"/>
        <w:keepLines w:val="0"/>
        <w:pageBreakBefore w:val="0"/>
        <w:kinsoku/>
        <w:wordWrap/>
        <w:overflowPunct/>
        <w:topLinePunct w:val="0"/>
        <w:autoSpaceDE/>
        <w:autoSpaceDN/>
        <w:bidi w:val="0"/>
        <w:spacing w:line="560" w:lineRule="exact"/>
        <w:ind w:firstLine="420" w:firstLineChars="150"/>
        <w:rPr>
          <w:rFonts w:hint="eastAsia" w:ascii="仿宋" w:hAnsi="仿宋" w:eastAsia="仿宋" w:cs="仿宋"/>
          <w:sz w:val="28"/>
          <w:szCs w:val="28"/>
          <w:shd w:val="clear" w:color="auto" w:fill="FFFFFF"/>
        </w:rPr>
      </w:pPr>
      <w:r>
        <w:rPr>
          <w:rFonts w:hint="eastAsia" w:ascii="仿宋" w:hAnsi="仿宋" w:eastAsia="仿宋" w:cs="仿宋"/>
          <w:color w:val="000000"/>
          <w:sz w:val="28"/>
          <w:szCs w:val="28"/>
          <w:shd w:val="clear" w:color="auto" w:fill="FFFFFF"/>
        </w:rPr>
        <w:t>为保障全体出行师生的</w:t>
      </w:r>
      <w:r>
        <w:rPr>
          <w:rFonts w:hint="eastAsia" w:ascii="仿宋" w:hAnsi="仿宋" w:eastAsia="仿宋" w:cs="仿宋"/>
          <w:color w:val="000000"/>
          <w:sz w:val="28"/>
          <w:szCs w:val="28"/>
          <w:shd w:val="clear" w:color="auto" w:fill="FFFFFF"/>
          <w:lang w:val="en-US" w:eastAsia="zh-CN"/>
        </w:rPr>
        <w:t>健康</w:t>
      </w:r>
      <w:r>
        <w:rPr>
          <w:rFonts w:hint="eastAsia" w:ascii="仿宋" w:hAnsi="仿宋" w:eastAsia="仿宋" w:cs="仿宋"/>
          <w:color w:val="000000"/>
          <w:sz w:val="28"/>
          <w:szCs w:val="28"/>
          <w:shd w:val="clear" w:color="auto" w:fill="FFFFFF"/>
        </w:rPr>
        <w:t>安全，根据</w:t>
      </w:r>
      <w:r>
        <w:rPr>
          <w:rFonts w:hint="eastAsia" w:ascii="仿宋" w:hAnsi="仿宋" w:eastAsia="仿宋" w:cs="仿宋"/>
          <w:color w:val="000000"/>
          <w:sz w:val="28"/>
          <w:szCs w:val="28"/>
          <w:shd w:val="clear" w:color="auto" w:fill="FFFFFF"/>
          <w:lang w:eastAsia="zh-CN"/>
        </w:rPr>
        <w:t>外出研修活动</w:t>
      </w:r>
      <w:r>
        <w:rPr>
          <w:rFonts w:hint="eastAsia" w:ascii="仿宋" w:hAnsi="仿宋" w:eastAsia="仿宋" w:cs="仿宋"/>
          <w:color w:val="000000"/>
          <w:sz w:val="28"/>
          <w:szCs w:val="28"/>
          <w:shd w:val="clear" w:color="auto" w:fill="FFFFFF"/>
        </w:rPr>
        <w:t>中可预见及不可预见的突发情况，制定</w:t>
      </w:r>
      <w:r>
        <w:rPr>
          <w:rFonts w:hint="eastAsia" w:ascii="仿宋" w:hAnsi="仿宋" w:eastAsia="仿宋" w:cs="仿宋"/>
          <w:color w:val="000000"/>
          <w:sz w:val="28"/>
          <w:szCs w:val="28"/>
          <w:shd w:val="clear" w:color="auto" w:fill="FFFFFF"/>
          <w:lang w:val="en-US" w:eastAsia="zh-CN"/>
        </w:rPr>
        <w:t>本预案</w:t>
      </w:r>
      <w:r>
        <w:rPr>
          <w:rFonts w:hint="eastAsia" w:ascii="仿宋" w:hAnsi="仿宋" w:eastAsia="仿宋" w:cs="仿宋"/>
          <w:color w:val="000000"/>
          <w:sz w:val="28"/>
          <w:szCs w:val="28"/>
          <w:shd w:val="clear" w:color="auto" w:fill="FFFFFF"/>
        </w:rPr>
        <w:t>，在</w:t>
      </w:r>
      <w:r>
        <w:rPr>
          <w:rFonts w:hint="eastAsia" w:ascii="仿宋" w:hAnsi="仿宋" w:eastAsia="仿宋" w:cs="仿宋"/>
          <w:color w:val="000000"/>
          <w:sz w:val="28"/>
          <w:szCs w:val="28"/>
          <w:shd w:val="clear" w:color="auto" w:fill="FFFFFF"/>
          <w:lang w:val="en-US" w:eastAsia="zh-CN"/>
        </w:rPr>
        <w:t>各</w:t>
      </w:r>
      <w:r>
        <w:rPr>
          <w:rFonts w:hint="eastAsia" w:ascii="仿宋" w:hAnsi="仿宋" w:eastAsia="仿宋" w:cs="仿宋"/>
          <w:color w:val="000000"/>
          <w:sz w:val="28"/>
          <w:szCs w:val="28"/>
          <w:shd w:val="clear" w:color="auto" w:fill="FFFFFF"/>
        </w:rPr>
        <w:t>方配合下共同</w:t>
      </w:r>
      <w:r>
        <w:rPr>
          <w:rFonts w:hint="eastAsia" w:ascii="仿宋" w:hAnsi="仿宋" w:eastAsia="仿宋" w:cs="仿宋"/>
          <w:color w:val="000000"/>
          <w:sz w:val="28"/>
          <w:szCs w:val="28"/>
          <w:shd w:val="clear" w:color="auto" w:fill="FFFFFF"/>
          <w:lang w:val="en-US" w:eastAsia="zh-CN"/>
        </w:rPr>
        <w:t>圆满完成本次</w:t>
      </w:r>
      <w:r>
        <w:rPr>
          <w:rFonts w:hint="eastAsia" w:ascii="仿宋" w:hAnsi="仿宋" w:eastAsia="仿宋" w:cs="仿宋"/>
          <w:color w:val="000000"/>
          <w:sz w:val="28"/>
          <w:szCs w:val="28"/>
          <w:shd w:val="clear" w:color="auto" w:fill="FFFFFF"/>
        </w:rPr>
        <w:t>学生</w:t>
      </w:r>
      <w:r>
        <w:rPr>
          <w:rFonts w:hint="eastAsia" w:ascii="仿宋" w:hAnsi="仿宋" w:eastAsia="仿宋" w:cs="仿宋"/>
          <w:color w:val="000000"/>
          <w:sz w:val="28"/>
          <w:szCs w:val="28"/>
          <w:shd w:val="clear" w:color="auto" w:fill="FFFFFF"/>
          <w:lang w:eastAsia="zh-CN"/>
        </w:rPr>
        <w:t>外出研修活动</w:t>
      </w:r>
      <w:r>
        <w:rPr>
          <w:rFonts w:hint="eastAsia" w:ascii="仿宋" w:hAnsi="仿宋" w:eastAsia="仿宋" w:cs="仿宋"/>
          <w:color w:val="000000"/>
          <w:sz w:val="28"/>
          <w:szCs w:val="28"/>
          <w:shd w:val="clear" w:color="auto" w:fill="FFFFFF"/>
        </w:rPr>
        <w:t>课程。</w:t>
      </w:r>
    </w:p>
    <w:p w14:paraId="435AD24A">
      <w:pPr>
        <w:keepNext w:val="0"/>
        <w:keepLines w:val="0"/>
        <w:pageBreakBefore w:val="0"/>
        <w:kinsoku/>
        <w:wordWrap/>
        <w:overflowPunct/>
        <w:topLinePunct w:val="0"/>
        <w:autoSpaceDE/>
        <w:autoSpaceDN/>
        <w:bidi w:val="0"/>
        <w:spacing w:line="560" w:lineRule="exact"/>
        <w:rPr>
          <w:rFonts w:hint="eastAsia" w:ascii="仿宋" w:hAnsi="仿宋" w:eastAsia="仿宋" w:cs="仿宋"/>
          <w:b/>
          <w:sz w:val="28"/>
          <w:szCs w:val="28"/>
          <w:shd w:val="clear" w:color="auto" w:fill="FFFFFF"/>
        </w:rPr>
      </w:pPr>
      <w:bookmarkStart w:id="1" w:name="_Toc414978742"/>
    </w:p>
    <w:p w14:paraId="18D5B1D9">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sz w:val="28"/>
          <w:szCs w:val="28"/>
          <w:shd w:val="clear" w:color="auto" w:fill="FFFFFF"/>
        </w:rPr>
      </w:pPr>
      <w:r>
        <w:rPr>
          <w:rFonts w:hint="eastAsia" w:ascii="仿宋" w:hAnsi="仿宋" w:eastAsia="仿宋" w:cs="仿宋"/>
          <w:b/>
          <w:sz w:val="28"/>
          <w:szCs w:val="28"/>
          <w:shd w:val="clear" w:color="auto" w:fill="FFFFFF"/>
        </w:rPr>
        <w:t>1</w:t>
      </w:r>
      <w:r>
        <w:rPr>
          <w:rFonts w:hint="eastAsia" w:ascii="仿宋" w:hAnsi="仿宋" w:eastAsia="仿宋" w:cs="仿宋"/>
          <w:b/>
          <w:sz w:val="28"/>
          <w:szCs w:val="28"/>
          <w:shd w:val="clear" w:color="auto" w:fill="FFFFFF"/>
          <w:lang w:val="en-US" w:eastAsia="zh-CN"/>
        </w:rPr>
        <w:t>-</w:t>
      </w:r>
      <w:r>
        <w:rPr>
          <w:rFonts w:hint="eastAsia" w:ascii="仿宋" w:hAnsi="仿宋" w:eastAsia="仿宋" w:cs="仿宋"/>
          <w:b/>
          <w:sz w:val="28"/>
          <w:szCs w:val="28"/>
          <w:shd w:val="clear" w:color="auto" w:fill="FFFFFF"/>
        </w:rPr>
        <w:t>食品安全应急预案</w:t>
      </w:r>
      <w:bookmarkEnd w:id="1"/>
    </w:p>
    <w:p w14:paraId="7030E705">
      <w:pPr>
        <w:keepNext w:val="0"/>
        <w:keepLines w:val="0"/>
        <w:pageBreakBefore w:val="0"/>
        <w:kinsoku/>
        <w:wordWrap/>
        <w:overflowPunct/>
        <w:topLinePunct w:val="0"/>
        <w:autoSpaceDE/>
        <w:autoSpaceDN/>
        <w:bidi w:val="0"/>
        <w:spacing w:line="560" w:lineRule="exact"/>
        <w:rPr>
          <w:rFonts w:hint="eastAsia" w:ascii="仿宋" w:hAnsi="仿宋" w:eastAsia="仿宋" w:cs="仿宋"/>
          <w:color w:val="000000"/>
          <w:sz w:val="28"/>
          <w:szCs w:val="28"/>
          <w:shd w:val="clear" w:color="auto" w:fill="FFFFFF"/>
        </w:rPr>
      </w:pPr>
      <w:r>
        <w:rPr>
          <w:rFonts w:hint="eastAsia" w:ascii="仿宋" w:hAnsi="仿宋" w:eastAsia="仿宋" w:cs="仿宋"/>
          <w:b/>
          <w:bCs/>
          <w:color w:val="000000"/>
          <w:sz w:val="28"/>
          <w:szCs w:val="28"/>
          <w:shd w:val="clear" w:color="auto" w:fill="FFFFFF"/>
        </w:rPr>
        <w:t>制定说明</w:t>
      </w:r>
      <w:r>
        <w:rPr>
          <w:rFonts w:hint="eastAsia" w:ascii="仿宋" w:hAnsi="仿宋" w:eastAsia="仿宋" w:cs="仿宋"/>
          <w:color w:val="000000"/>
          <w:sz w:val="28"/>
          <w:szCs w:val="28"/>
          <w:shd w:val="clear" w:color="auto" w:fill="FFFFFF"/>
        </w:rPr>
        <w:t xml:space="preserve"> </w:t>
      </w:r>
    </w:p>
    <w:p w14:paraId="43CAD4AA">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为确保外出期间师生的生命安全，维护正常的教学秩序，保障</w:t>
      </w:r>
      <w:r>
        <w:rPr>
          <w:rFonts w:hint="eastAsia" w:ascii="仿宋" w:hAnsi="仿宋" w:eastAsia="仿宋" w:cs="仿宋"/>
          <w:color w:val="000000"/>
          <w:sz w:val="28"/>
          <w:szCs w:val="28"/>
          <w:shd w:val="clear" w:color="auto" w:fill="FFFFFF"/>
          <w:lang w:eastAsia="zh-CN"/>
        </w:rPr>
        <w:t>外出研修活动</w:t>
      </w:r>
      <w:r>
        <w:rPr>
          <w:rFonts w:hint="eastAsia" w:ascii="仿宋" w:hAnsi="仿宋" w:eastAsia="仿宋" w:cs="仿宋"/>
          <w:color w:val="000000"/>
          <w:sz w:val="28"/>
          <w:szCs w:val="28"/>
          <w:shd w:val="clear" w:color="auto" w:fill="FFFFFF"/>
        </w:rPr>
        <w:t>顺利开展的基础上制定本预案，以便于指导参加</w:t>
      </w:r>
      <w:r>
        <w:rPr>
          <w:rFonts w:hint="eastAsia" w:ascii="仿宋" w:hAnsi="仿宋" w:eastAsia="仿宋" w:cs="仿宋"/>
          <w:color w:val="000000"/>
          <w:sz w:val="28"/>
          <w:szCs w:val="28"/>
          <w:shd w:val="clear" w:color="auto" w:fill="FFFFFF"/>
          <w:lang w:eastAsia="zh-CN"/>
        </w:rPr>
        <w:t>外出研修活动</w:t>
      </w:r>
      <w:r>
        <w:rPr>
          <w:rFonts w:hint="eastAsia" w:ascii="仿宋" w:hAnsi="仿宋" w:eastAsia="仿宋" w:cs="仿宋"/>
          <w:color w:val="000000"/>
          <w:sz w:val="28"/>
          <w:szCs w:val="28"/>
          <w:shd w:val="clear" w:color="auto" w:fill="FFFFFF"/>
        </w:rPr>
        <w:t>的老师做好学生食物安全事故的应急处理，积极预防和处理学生食物中毒安全事故的发生，教育全体参加</w:t>
      </w:r>
      <w:r>
        <w:rPr>
          <w:rFonts w:hint="eastAsia" w:ascii="仿宋" w:hAnsi="仿宋" w:eastAsia="仿宋" w:cs="仿宋"/>
          <w:color w:val="000000"/>
          <w:sz w:val="28"/>
          <w:szCs w:val="28"/>
          <w:shd w:val="clear" w:color="auto" w:fill="FFFFFF"/>
          <w:lang w:eastAsia="zh-CN"/>
        </w:rPr>
        <w:t>外出研修活动</w:t>
      </w:r>
      <w:r>
        <w:rPr>
          <w:rFonts w:hint="eastAsia" w:ascii="仿宋" w:hAnsi="仿宋" w:eastAsia="仿宋" w:cs="仿宋"/>
          <w:color w:val="000000"/>
          <w:sz w:val="28"/>
          <w:szCs w:val="28"/>
          <w:shd w:val="clear" w:color="auto" w:fill="FFFFFF"/>
        </w:rPr>
        <w:t>的学生了解和掌握事故发生后的处理程序和办法；建立有效措施和机制，采取有效预防措施防止学生食物中毒安全事故的发生，保持正常的教育教学秩序。</w:t>
      </w:r>
    </w:p>
    <w:p w14:paraId="01CEA3B4">
      <w:pPr>
        <w:keepNext w:val="0"/>
        <w:keepLines w:val="0"/>
        <w:pageBreakBefore w:val="0"/>
        <w:kinsoku/>
        <w:wordWrap/>
        <w:overflowPunct/>
        <w:topLinePunct w:val="0"/>
        <w:autoSpaceDE/>
        <w:autoSpaceDN/>
        <w:bidi w:val="0"/>
        <w:spacing w:line="560" w:lineRule="exact"/>
        <w:rPr>
          <w:rFonts w:hint="eastAsia" w:ascii="仿宋" w:hAnsi="仿宋" w:eastAsia="仿宋" w:cs="仿宋"/>
          <w:color w:val="000000"/>
          <w:sz w:val="28"/>
          <w:szCs w:val="28"/>
          <w:shd w:val="clear" w:color="auto" w:fill="FFFFFF"/>
        </w:rPr>
      </w:pPr>
      <w:r>
        <w:rPr>
          <w:rFonts w:hint="eastAsia" w:ascii="仿宋" w:hAnsi="仿宋" w:eastAsia="仿宋" w:cs="仿宋"/>
          <w:b/>
          <w:bCs/>
          <w:color w:val="000000"/>
          <w:sz w:val="28"/>
          <w:szCs w:val="28"/>
          <w:shd w:val="clear" w:color="auto" w:fill="FFFFFF"/>
        </w:rPr>
        <w:t xml:space="preserve">适用条件  </w:t>
      </w:r>
      <w:r>
        <w:rPr>
          <w:rFonts w:hint="eastAsia" w:ascii="仿宋" w:hAnsi="仿宋" w:eastAsia="仿宋" w:cs="仿宋"/>
          <w:color w:val="000000"/>
          <w:sz w:val="28"/>
          <w:szCs w:val="28"/>
          <w:shd w:val="clear" w:color="auto" w:fill="FFFFFF"/>
        </w:rPr>
        <w:t xml:space="preserve"> </w:t>
      </w:r>
    </w:p>
    <w:p w14:paraId="179EF344">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在</w:t>
      </w:r>
      <w:r>
        <w:rPr>
          <w:rFonts w:hint="eastAsia" w:ascii="仿宋" w:hAnsi="仿宋" w:eastAsia="仿宋" w:cs="仿宋"/>
          <w:color w:val="000000"/>
          <w:sz w:val="28"/>
          <w:szCs w:val="28"/>
          <w:shd w:val="clear" w:color="auto" w:fill="FFFFFF"/>
          <w:lang w:eastAsia="zh-CN"/>
        </w:rPr>
        <w:t>外出研修活动</w:t>
      </w:r>
      <w:r>
        <w:rPr>
          <w:rFonts w:hint="eastAsia" w:ascii="仿宋" w:hAnsi="仿宋" w:eastAsia="仿宋" w:cs="仿宋"/>
          <w:color w:val="000000"/>
          <w:sz w:val="28"/>
          <w:szCs w:val="28"/>
          <w:shd w:val="clear" w:color="auto" w:fill="FFFFFF"/>
        </w:rPr>
        <w:t>过程中一旦出现食物中毒事故，立即启动本预案，采取有效预防措施迅速控制</w:t>
      </w:r>
      <w:r>
        <w:rPr>
          <w:rFonts w:hint="eastAsia" w:ascii="仿宋" w:hAnsi="仿宋" w:eastAsia="仿宋" w:cs="仿宋"/>
          <w:color w:val="000000"/>
          <w:sz w:val="28"/>
          <w:szCs w:val="28"/>
          <w:shd w:val="clear" w:color="auto" w:fill="FFFFFF"/>
          <w:lang w:val="en-US" w:eastAsia="zh-CN"/>
        </w:rPr>
        <w:t>病</w:t>
      </w:r>
      <w:r>
        <w:rPr>
          <w:rFonts w:hint="eastAsia" w:ascii="仿宋" w:hAnsi="仿宋" w:eastAsia="仿宋" w:cs="仿宋"/>
          <w:color w:val="000000"/>
          <w:sz w:val="28"/>
          <w:szCs w:val="28"/>
          <w:shd w:val="clear" w:color="auto" w:fill="FFFFFF"/>
        </w:rPr>
        <w:t>情，最大限度的减少损失，稳定家长</w:t>
      </w:r>
      <w:r>
        <w:rPr>
          <w:rFonts w:hint="eastAsia" w:ascii="仿宋" w:hAnsi="仿宋" w:eastAsia="仿宋" w:cs="仿宋"/>
          <w:color w:val="000000"/>
          <w:sz w:val="28"/>
          <w:szCs w:val="28"/>
          <w:shd w:val="clear" w:color="auto" w:fill="FFFFFF"/>
          <w:lang w:val="en-US" w:eastAsia="zh-CN"/>
        </w:rPr>
        <w:t>或者家属的</w:t>
      </w:r>
      <w:r>
        <w:rPr>
          <w:rFonts w:hint="eastAsia" w:ascii="仿宋" w:hAnsi="仿宋" w:eastAsia="仿宋" w:cs="仿宋"/>
          <w:color w:val="000000"/>
          <w:sz w:val="28"/>
          <w:szCs w:val="28"/>
          <w:shd w:val="clear" w:color="auto" w:fill="FFFFFF"/>
        </w:rPr>
        <w:t>情绪，保持正常</w:t>
      </w:r>
      <w:r>
        <w:rPr>
          <w:rFonts w:hint="eastAsia" w:ascii="仿宋" w:hAnsi="仿宋" w:eastAsia="仿宋" w:cs="仿宋"/>
          <w:color w:val="000000"/>
          <w:sz w:val="28"/>
          <w:szCs w:val="28"/>
          <w:shd w:val="clear" w:color="auto" w:fill="FFFFFF"/>
          <w:lang w:eastAsia="zh-CN"/>
        </w:rPr>
        <w:t>外出研修活动</w:t>
      </w:r>
      <w:r>
        <w:rPr>
          <w:rFonts w:hint="eastAsia" w:ascii="仿宋" w:hAnsi="仿宋" w:eastAsia="仿宋" w:cs="仿宋"/>
          <w:color w:val="000000"/>
          <w:sz w:val="28"/>
          <w:szCs w:val="28"/>
          <w:shd w:val="clear" w:color="auto" w:fill="FFFFFF"/>
        </w:rPr>
        <w:t>课程的学习秩序。</w:t>
      </w:r>
    </w:p>
    <w:p w14:paraId="18F07174">
      <w:pPr>
        <w:keepNext w:val="0"/>
        <w:keepLines w:val="0"/>
        <w:pageBreakBefore w:val="0"/>
        <w:kinsoku/>
        <w:wordWrap/>
        <w:overflowPunct/>
        <w:topLinePunct w:val="0"/>
        <w:autoSpaceDE/>
        <w:autoSpaceDN/>
        <w:bidi w:val="0"/>
        <w:spacing w:line="560" w:lineRule="exact"/>
        <w:rPr>
          <w:rFonts w:hint="eastAsia" w:ascii="仿宋" w:hAnsi="仿宋" w:eastAsia="仿宋" w:cs="仿宋"/>
          <w:b/>
          <w:bCs/>
          <w:color w:val="000000"/>
          <w:sz w:val="28"/>
          <w:szCs w:val="28"/>
          <w:shd w:val="clear" w:color="auto" w:fill="FFFFFF"/>
        </w:rPr>
      </w:pPr>
      <w:r>
        <w:rPr>
          <w:rFonts w:hint="eastAsia" w:ascii="仿宋" w:hAnsi="仿宋" w:eastAsia="仿宋" w:cs="仿宋"/>
          <w:b/>
          <w:bCs/>
          <w:color w:val="000000"/>
          <w:sz w:val="28"/>
          <w:szCs w:val="28"/>
          <w:shd w:val="clear" w:color="auto" w:fill="FFFFFF"/>
        </w:rPr>
        <w:t xml:space="preserve">组织管理  </w:t>
      </w:r>
    </w:p>
    <w:p w14:paraId="0A4F0722">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一旦发生食物中毒事故，要在校方的统一指挥调度下，组织对安全事故的调查、应急处理和医疗救治工作以及协调有关部门开展工作；对事件进行资料归类、留档、评价，并总结经验和教训。</w:t>
      </w:r>
    </w:p>
    <w:p w14:paraId="69913461">
      <w:pPr>
        <w:keepNext w:val="0"/>
        <w:keepLines w:val="0"/>
        <w:pageBreakBefore w:val="0"/>
        <w:kinsoku/>
        <w:wordWrap/>
        <w:overflowPunct/>
        <w:topLinePunct w:val="0"/>
        <w:autoSpaceDE/>
        <w:autoSpaceDN/>
        <w:bidi w:val="0"/>
        <w:spacing w:line="560" w:lineRule="exact"/>
        <w:rPr>
          <w:rFonts w:hint="eastAsia" w:ascii="仿宋" w:hAnsi="仿宋" w:eastAsia="仿宋" w:cs="仿宋"/>
          <w:b/>
          <w:bCs/>
          <w:color w:val="000000"/>
          <w:sz w:val="28"/>
          <w:szCs w:val="28"/>
          <w:shd w:val="clear" w:color="auto" w:fill="FFFFFF"/>
        </w:rPr>
      </w:pPr>
      <w:r>
        <w:rPr>
          <w:rFonts w:hint="eastAsia" w:ascii="仿宋" w:hAnsi="仿宋" w:eastAsia="仿宋" w:cs="仿宋"/>
          <w:b/>
          <w:bCs/>
          <w:color w:val="000000"/>
          <w:sz w:val="28"/>
          <w:szCs w:val="28"/>
          <w:shd w:val="clear" w:color="auto" w:fill="FFFFFF"/>
        </w:rPr>
        <w:t xml:space="preserve">预防控制 </w:t>
      </w:r>
    </w:p>
    <w:p w14:paraId="33807F47">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1、在参加</w:t>
      </w:r>
      <w:r>
        <w:rPr>
          <w:rFonts w:hint="eastAsia" w:ascii="仿宋" w:hAnsi="仿宋" w:eastAsia="仿宋" w:cs="仿宋"/>
          <w:color w:val="000000"/>
          <w:sz w:val="28"/>
          <w:szCs w:val="28"/>
          <w:shd w:val="clear" w:color="auto" w:fill="FFFFFF"/>
          <w:lang w:eastAsia="zh-CN"/>
        </w:rPr>
        <w:t>外出研修活动</w:t>
      </w:r>
      <w:r>
        <w:rPr>
          <w:rFonts w:hint="eastAsia" w:ascii="仿宋" w:hAnsi="仿宋" w:eastAsia="仿宋" w:cs="仿宋"/>
          <w:color w:val="000000"/>
          <w:sz w:val="28"/>
          <w:szCs w:val="28"/>
          <w:shd w:val="clear" w:color="auto" w:fill="FFFFFF"/>
        </w:rPr>
        <w:t>的师生中开展预防食物中毒宣传教育，结合学校的实际情况，利用广播、电视、报刊、黑板报、网络、宣传画和食物标本等各种形式，宣传普及有关卫生知识，提高广大师生员工卫生安全意识、减少食物中毒发生。在行程中教育学生不喝生水、不吃生冷变质食物，不在小摊上买零食，以防食物中毒。教导学生养成良好的用餐习惯，不挑食，少吃零食。</w:t>
      </w:r>
    </w:p>
    <w:p w14:paraId="60A19C34">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2、在</w:t>
      </w:r>
      <w:r>
        <w:rPr>
          <w:rFonts w:hint="eastAsia" w:ascii="仿宋" w:hAnsi="仿宋" w:eastAsia="仿宋" w:cs="仿宋"/>
          <w:color w:val="000000"/>
          <w:sz w:val="28"/>
          <w:szCs w:val="28"/>
          <w:shd w:val="clear" w:color="auto" w:fill="FFFFFF"/>
          <w:lang w:eastAsia="zh-CN"/>
        </w:rPr>
        <w:t>外出研修活动</w:t>
      </w:r>
      <w:r>
        <w:rPr>
          <w:rFonts w:hint="eastAsia" w:ascii="仿宋" w:hAnsi="仿宋" w:eastAsia="仿宋" w:cs="仿宋"/>
          <w:color w:val="000000"/>
          <w:sz w:val="28"/>
          <w:szCs w:val="28"/>
          <w:shd w:val="clear" w:color="auto" w:fill="FFFFFF"/>
        </w:rPr>
        <w:t>中的用餐地点，严格要求安排在工商局、卫生监督、旅游局等各单位取得合法证件的营业场所，并要求当地接待单位对就餐的餐饮单位提前进行踩点，对卫生情况进行严格检查。</w:t>
      </w:r>
    </w:p>
    <w:p w14:paraId="490B6267">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3、在预定的</w:t>
      </w:r>
      <w:r>
        <w:rPr>
          <w:rFonts w:hint="eastAsia" w:ascii="仿宋" w:hAnsi="仿宋" w:eastAsia="仿宋" w:cs="仿宋"/>
          <w:color w:val="000000"/>
          <w:sz w:val="28"/>
          <w:szCs w:val="28"/>
          <w:shd w:val="clear" w:color="auto" w:fill="FFFFFF"/>
          <w:lang w:eastAsia="zh-CN"/>
        </w:rPr>
        <w:t>外出研修活动</w:t>
      </w:r>
      <w:r>
        <w:rPr>
          <w:rFonts w:hint="eastAsia" w:ascii="仿宋" w:hAnsi="仿宋" w:eastAsia="仿宋" w:cs="仿宋"/>
          <w:color w:val="000000"/>
          <w:sz w:val="28"/>
          <w:szCs w:val="28"/>
          <w:shd w:val="clear" w:color="auto" w:fill="FFFFFF"/>
        </w:rPr>
        <w:t>地点，提前确定距离课程资源最近的当地医院地点联系方式和前往的路线，以备不时之需。</w:t>
      </w:r>
    </w:p>
    <w:p w14:paraId="2B5D1E47">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lang w:val="en-US" w:eastAsia="zh-CN"/>
        </w:rPr>
        <w:t>4、</w:t>
      </w:r>
      <w:r>
        <w:rPr>
          <w:rFonts w:hint="eastAsia" w:ascii="仿宋" w:hAnsi="仿宋" w:eastAsia="仿宋" w:cs="仿宋"/>
          <w:color w:val="000000"/>
          <w:sz w:val="28"/>
          <w:szCs w:val="28"/>
          <w:shd w:val="clear" w:color="auto" w:fill="FFFFFF"/>
        </w:rPr>
        <w:t>保证</w:t>
      </w:r>
      <w:r>
        <w:rPr>
          <w:rFonts w:hint="eastAsia" w:ascii="仿宋" w:hAnsi="仿宋" w:eastAsia="仿宋" w:cs="仿宋"/>
          <w:color w:val="000000"/>
          <w:sz w:val="28"/>
          <w:szCs w:val="28"/>
          <w:shd w:val="clear" w:color="auto" w:fill="FFFFFF"/>
          <w:lang w:eastAsia="zh-CN"/>
        </w:rPr>
        <w:t>外出研修活动</w:t>
      </w:r>
      <w:r>
        <w:rPr>
          <w:rFonts w:hint="eastAsia" w:ascii="仿宋" w:hAnsi="仿宋" w:eastAsia="仿宋" w:cs="仿宋"/>
          <w:color w:val="000000"/>
          <w:sz w:val="28"/>
          <w:szCs w:val="28"/>
          <w:shd w:val="clear" w:color="auto" w:fill="FFFFFF"/>
        </w:rPr>
        <w:t>期间车辆随时待命，司机保证随叫随到。</w:t>
      </w:r>
    </w:p>
    <w:p w14:paraId="5CE97CEA">
      <w:pPr>
        <w:keepNext w:val="0"/>
        <w:keepLines w:val="0"/>
        <w:pageBreakBefore w:val="0"/>
        <w:kinsoku/>
        <w:wordWrap/>
        <w:overflowPunct/>
        <w:topLinePunct w:val="0"/>
        <w:autoSpaceDE/>
        <w:autoSpaceDN/>
        <w:bidi w:val="0"/>
        <w:spacing w:line="560" w:lineRule="exact"/>
        <w:rPr>
          <w:rFonts w:hint="eastAsia"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预案启动的条件和程序</w:t>
      </w:r>
    </w:p>
    <w:p w14:paraId="1721B7B3">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b/>
          <w:bCs/>
          <w:sz w:val="28"/>
          <w:szCs w:val="28"/>
          <w:shd w:val="clear" w:color="auto" w:fill="FFFFFF"/>
        </w:rPr>
      </w:pPr>
      <w:r>
        <w:rPr>
          <w:rFonts w:hint="eastAsia" w:ascii="仿宋" w:hAnsi="仿宋" w:eastAsia="仿宋" w:cs="仿宋"/>
          <w:sz w:val="28"/>
          <w:szCs w:val="28"/>
          <w:shd w:val="clear" w:color="auto" w:fill="FFFFFF"/>
        </w:rPr>
        <w:t>在</w:t>
      </w:r>
      <w:r>
        <w:rPr>
          <w:rFonts w:hint="eastAsia" w:ascii="仿宋" w:hAnsi="仿宋" w:eastAsia="仿宋" w:cs="仿宋"/>
          <w:sz w:val="28"/>
          <w:szCs w:val="28"/>
          <w:shd w:val="clear" w:color="auto" w:fill="FFFFFF"/>
          <w:lang w:eastAsia="zh-CN"/>
        </w:rPr>
        <w:t>外出研修活动</w:t>
      </w:r>
      <w:r>
        <w:rPr>
          <w:rFonts w:hint="eastAsia" w:ascii="仿宋" w:hAnsi="仿宋" w:eastAsia="仿宋" w:cs="仿宋"/>
          <w:sz w:val="28"/>
          <w:szCs w:val="28"/>
          <w:shd w:val="clear" w:color="auto" w:fill="FFFFFF"/>
        </w:rPr>
        <w:t>学过程中发现师生出现呕吐、腹痛、腹泻等食物中毒症状，危及师生生命安全时，须立即向当地卫生防疫部门报告，同时立即启动本应急方案。</w:t>
      </w:r>
    </w:p>
    <w:p w14:paraId="79AAB83B">
      <w:pPr>
        <w:keepNext w:val="0"/>
        <w:keepLines w:val="0"/>
        <w:pageBreakBefore w:val="0"/>
        <w:kinsoku/>
        <w:wordWrap/>
        <w:overflowPunct/>
        <w:topLinePunct w:val="0"/>
        <w:autoSpaceDE/>
        <w:autoSpaceDN/>
        <w:bidi w:val="0"/>
        <w:spacing w:line="560" w:lineRule="exact"/>
        <w:rPr>
          <w:rFonts w:hint="eastAsia"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发生食物中毒的应急处理</w:t>
      </w:r>
    </w:p>
    <w:p w14:paraId="25900C31">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在</w:t>
      </w:r>
      <w:r>
        <w:rPr>
          <w:rFonts w:hint="eastAsia" w:ascii="仿宋" w:hAnsi="仿宋" w:eastAsia="仿宋" w:cs="仿宋"/>
          <w:sz w:val="28"/>
          <w:szCs w:val="28"/>
          <w:shd w:val="clear" w:color="auto" w:fill="FFFFFF"/>
          <w:lang w:eastAsia="zh-CN"/>
        </w:rPr>
        <w:t>外出研修活动</w:t>
      </w:r>
      <w:r>
        <w:rPr>
          <w:rFonts w:hint="eastAsia" w:ascii="仿宋" w:hAnsi="仿宋" w:eastAsia="仿宋" w:cs="仿宋"/>
          <w:sz w:val="28"/>
          <w:szCs w:val="28"/>
          <w:shd w:val="clear" w:color="auto" w:fill="FFFFFF"/>
        </w:rPr>
        <w:t>过程中发现师生出现呕吐、腹痛、腹泻等食物中毒症状，须立即启动采取以下措施：</w:t>
      </w:r>
    </w:p>
    <w:p w14:paraId="3596718B">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1、通报</w:t>
      </w:r>
    </w:p>
    <w:p w14:paraId="3ED56456">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发现食物中毒事故，立即通知就近医院做好抢救准备工作，同时报学校有关领导，并报医院急救电话，急救电话号码：</w:t>
      </w:r>
      <w:r>
        <w:rPr>
          <w:rFonts w:hint="eastAsia" w:ascii="仿宋" w:hAnsi="仿宋" w:eastAsia="仿宋" w:cs="仿宋"/>
          <w:sz w:val="28"/>
          <w:szCs w:val="28"/>
          <w:shd w:val="clear" w:color="auto" w:fill="FFFFFF"/>
          <w:lang w:eastAsia="zh-CN"/>
        </w:rPr>
        <w:t>140</w:t>
      </w:r>
      <w:r>
        <w:rPr>
          <w:rFonts w:hint="eastAsia" w:ascii="仿宋" w:hAnsi="仿宋" w:eastAsia="仿宋" w:cs="仿宋"/>
          <w:sz w:val="28"/>
          <w:szCs w:val="28"/>
          <w:shd w:val="clear" w:color="auto" w:fill="FFFFFF"/>
        </w:rPr>
        <w:t>。</w:t>
      </w:r>
    </w:p>
    <w:p w14:paraId="2F0E2AC0">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2、紧急处理</w:t>
      </w:r>
    </w:p>
    <w:p w14:paraId="35266DBF">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sym w:font="Wingdings" w:char="F0D8"/>
      </w:r>
      <w:r>
        <w:rPr>
          <w:rFonts w:hint="eastAsia" w:ascii="仿宋" w:hAnsi="仿宋" w:eastAsia="仿宋" w:cs="仿宋"/>
          <w:sz w:val="28"/>
          <w:szCs w:val="28"/>
          <w:shd w:val="clear" w:color="auto" w:fill="FFFFFF"/>
        </w:rPr>
        <w:t xml:space="preserve"> 事故发生后，迅速把重病号送往医院抢救；</w:t>
      </w:r>
    </w:p>
    <w:p w14:paraId="7535B06E">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sym w:font="Wingdings" w:char="F0D8"/>
      </w:r>
      <w:r>
        <w:rPr>
          <w:rFonts w:hint="eastAsia" w:ascii="仿宋" w:hAnsi="仿宋" w:eastAsia="仿宋" w:cs="仿宋"/>
          <w:sz w:val="28"/>
          <w:szCs w:val="28"/>
          <w:shd w:val="clear" w:color="auto" w:fill="FFFFFF"/>
        </w:rPr>
        <w:t xml:space="preserve"> 急救车辆出现后，立即召集当地医院医生实施紧急救护准备工作；</w:t>
      </w:r>
    </w:p>
    <w:p w14:paraId="7F1AE2A7">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sym w:font="Wingdings" w:char="F0D8"/>
      </w:r>
      <w:r>
        <w:rPr>
          <w:rFonts w:hint="eastAsia" w:ascii="仿宋" w:hAnsi="仿宋" w:eastAsia="仿宋" w:cs="仿宋"/>
          <w:sz w:val="28"/>
          <w:szCs w:val="28"/>
          <w:shd w:val="clear" w:color="auto" w:fill="FFFFFF"/>
        </w:rPr>
        <w:t xml:space="preserve"> 保护现场，组织事故调查，处理临时紧急任务。</w:t>
      </w:r>
    </w:p>
    <w:p w14:paraId="63B6127A">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sym w:font="Wingdings" w:char="F0D8"/>
      </w:r>
      <w:r>
        <w:rPr>
          <w:rFonts w:hint="eastAsia" w:ascii="仿宋" w:hAnsi="仿宋" w:eastAsia="仿宋" w:cs="仿宋"/>
          <w:sz w:val="28"/>
          <w:szCs w:val="28"/>
          <w:shd w:val="clear" w:color="auto" w:fill="FFFFFF"/>
        </w:rPr>
        <w:t xml:space="preserve"> 报请校方应急小组启动应急预案，参与制定方案，指导、协调、督促有关部门开展工作。</w:t>
      </w:r>
    </w:p>
    <w:p w14:paraId="05F06ED1">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3、原因调查</w:t>
      </w:r>
    </w:p>
    <w:p w14:paraId="78A78C61">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sym w:font="Wingdings" w:char="F0D8"/>
      </w:r>
      <w:r>
        <w:rPr>
          <w:rFonts w:hint="eastAsia" w:ascii="仿宋" w:hAnsi="仿宋" w:eastAsia="仿宋" w:cs="仿宋"/>
          <w:sz w:val="28"/>
          <w:szCs w:val="28"/>
          <w:shd w:val="clear" w:color="auto" w:fill="FFFFFF"/>
        </w:rPr>
        <w:t xml:space="preserve"> 保护现场，对可疑食物或有毒食物取样封存；</w:t>
      </w:r>
    </w:p>
    <w:p w14:paraId="4A54EA28">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sym w:font="Wingdings" w:char="F0D8"/>
      </w:r>
      <w:r>
        <w:rPr>
          <w:rFonts w:hint="eastAsia" w:ascii="仿宋" w:hAnsi="仿宋" w:eastAsia="仿宋" w:cs="仿宋"/>
          <w:sz w:val="28"/>
          <w:szCs w:val="28"/>
          <w:shd w:val="clear" w:color="auto" w:fill="FFFFFF"/>
        </w:rPr>
        <w:t xml:space="preserve"> 留样的食物和现场取到的样品送防疫部门进行技术鉴定；</w:t>
      </w:r>
    </w:p>
    <w:p w14:paraId="78A95FBC">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sym w:font="Wingdings" w:char="F0D8"/>
      </w:r>
      <w:r>
        <w:rPr>
          <w:rFonts w:hint="eastAsia" w:ascii="仿宋" w:hAnsi="仿宋" w:eastAsia="仿宋" w:cs="仿宋"/>
          <w:sz w:val="28"/>
          <w:szCs w:val="28"/>
          <w:shd w:val="clear" w:color="auto" w:fill="FFFFFF"/>
        </w:rPr>
        <w:t xml:space="preserve"> 分析原因，根据现场调查和技术鉴定情况进行综合分析，确定事故原因吸取教训。</w:t>
      </w:r>
    </w:p>
    <w:p w14:paraId="0FF096F6">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4、善后处理</w:t>
      </w:r>
    </w:p>
    <w:p w14:paraId="3808B82A">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sym w:font="Wingdings" w:char="F0D8"/>
      </w:r>
      <w:r>
        <w:rPr>
          <w:rFonts w:hint="eastAsia" w:ascii="仿宋" w:hAnsi="仿宋" w:eastAsia="仿宋" w:cs="仿宋"/>
          <w:sz w:val="28"/>
          <w:szCs w:val="28"/>
          <w:shd w:val="clear" w:color="auto" w:fill="FFFFFF"/>
        </w:rPr>
        <w:t xml:space="preserve"> 事故发生后，要注意维护正常的</w:t>
      </w:r>
      <w:r>
        <w:rPr>
          <w:rFonts w:hint="eastAsia" w:ascii="仿宋" w:hAnsi="仿宋" w:eastAsia="仿宋" w:cs="仿宋"/>
          <w:sz w:val="28"/>
          <w:szCs w:val="28"/>
          <w:shd w:val="clear" w:color="auto" w:fill="FFFFFF"/>
          <w:lang w:eastAsia="zh-CN"/>
        </w:rPr>
        <w:t>外出研修活动</w:t>
      </w:r>
      <w:r>
        <w:rPr>
          <w:rFonts w:hint="eastAsia" w:ascii="仿宋" w:hAnsi="仿宋" w:eastAsia="仿宋" w:cs="仿宋"/>
          <w:sz w:val="28"/>
          <w:szCs w:val="28"/>
          <w:shd w:val="clear" w:color="auto" w:fill="FFFFFF"/>
        </w:rPr>
        <w:t>秩序和工作秩序，做好食物中毒人员的思想工作。做好中毒学生家长的思想工作，防止出现不稳定局面。</w:t>
      </w:r>
    </w:p>
    <w:p w14:paraId="49BD2063">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sym w:font="Wingdings" w:char="F0D8"/>
      </w:r>
      <w:r>
        <w:rPr>
          <w:rFonts w:hint="eastAsia" w:ascii="仿宋" w:hAnsi="仿宋" w:eastAsia="仿宋" w:cs="仿宋"/>
          <w:sz w:val="28"/>
          <w:szCs w:val="28"/>
          <w:shd w:val="clear" w:color="auto" w:fill="FFFFFF"/>
        </w:rPr>
        <w:t xml:space="preserve"> 如有新闻媒体要求采访，必须经过校方同意。未经同意，任何单位和个人不得接受采访，以避免报道失实。</w:t>
      </w:r>
    </w:p>
    <w:p w14:paraId="3A19399B">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sym w:font="Wingdings" w:char="F0D8"/>
      </w:r>
      <w:r>
        <w:rPr>
          <w:rFonts w:hint="eastAsia" w:ascii="仿宋" w:hAnsi="仿宋" w:eastAsia="仿宋" w:cs="仿宋"/>
          <w:sz w:val="28"/>
          <w:szCs w:val="28"/>
          <w:shd w:val="clear" w:color="auto" w:fill="FFFFFF"/>
        </w:rPr>
        <w:t xml:space="preserve"> 要求造成食物中毒的餐饮单位立即停止经营活动，协助卫生机构救治病人，保留造成食物中毒或者可能导致食物中毒的食品及其原料、工具、设备和现场。配合卫生部门调查，如实提供材料和样品。</w:t>
      </w:r>
    </w:p>
    <w:p w14:paraId="61992F77">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sym w:font="Wingdings" w:char="F0D8"/>
      </w:r>
      <w:r>
        <w:rPr>
          <w:rFonts w:hint="eastAsia" w:ascii="仿宋" w:hAnsi="仿宋" w:eastAsia="仿宋" w:cs="仿宋"/>
          <w:sz w:val="28"/>
          <w:szCs w:val="28"/>
          <w:shd w:val="clear" w:color="auto" w:fill="FFFFFF"/>
        </w:rPr>
        <w:t xml:space="preserve"> 对造成食物中毒事故的食堂和个人，立即上报卫生行政部门，按照《食品卫生法》和《食品卫生行政处罚办法》的有关规定，予以行政处罚。对造成严重食物中毒事故构成犯罪的或者有投毒等犯罪嫌疑的，移送司法机关处理。</w:t>
      </w:r>
      <w:bookmarkStart w:id="2" w:name="_Toc414978743"/>
    </w:p>
    <w:p w14:paraId="609E32AD">
      <w:pPr>
        <w:keepNext w:val="0"/>
        <w:keepLines w:val="0"/>
        <w:pageBreakBefore w:val="0"/>
        <w:kinsoku/>
        <w:wordWrap/>
        <w:overflowPunct/>
        <w:topLinePunct w:val="0"/>
        <w:autoSpaceDE/>
        <w:autoSpaceDN/>
        <w:bidi w:val="0"/>
        <w:spacing w:line="560" w:lineRule="exact"/>
        <w:rPr>
          <w:rFonts w:hint="eastAsia" w:ascii="仿宋" w:hAnsi="仿宋" w:eastAsia="仿宋" w:cs="仿宋"/>
          <w:b/>
          <w:sz w:val="28"/>
          <w:szCs w:val="28"/>
          <w:shd w:val="clear" w:color="auto" w:fill="FFFFFF"/>
        </w:rPr>
      </w:pPr>
    </w:p>
    <w:p w14:paraId="4204830B">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b/>
          <w:sz w:val="28"/>
          <w:szCs w:val="28"/>
          <w:shd w:val="clear" w:color="auto" w:fill="FFFFFF"/>
        </w:rPr>
      </w:pPr>
    </w:p>
    <w:p w14:paraId="12CDE129">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b/>
          <w:sz w:val="28"/>
          <w:szCs w:val="28"/>
          <w:shd w:val="clear" w:color="auto" w:fill="FFFFFF"/>
        </w:rPr>
      </w:pPr>
      <w:r>
        <w:rPr>
          <w:rFonts w:hint="eastAsia" w:ascii="仿宋" w:hAnsi="仿宋" w:eastAsia="仿宋" w:cs="仿宋"/>
          <w:b/>
          <w:sz w:val="28"/>
          <w:szCs w:val="28"/>
          <w:shd w:val="clear" w:color="auto" w:fill="FFFFFF"/>
        </w:rPr>
        <w:t>2</w:t>
      </w:r>
      <w:r>
        <w:rPr>
          <w:rFonts w:hint="eastAsia" w:ascii="仿宋" w:hAnsi="仿宋" w:eastAsia="仿宋" w:cs="仿宋"/>
          <w:b/>
          <w:sz w:val="28"/>
          <w:szCs w:val="28"/>
          <w:shd w:val="clear" w:color="auto" w:fill="FFFFFF"/>
          <w:lang w:val="en-US" w:eastAsia="zh-CN"/>
        </w:rPr>
        <w:t>-</w:t>
      </w:r>
      <w:r>
        <w:rPr>
          <w:rFonts w:hint="eastAsia" w:ascii="仿宋" w:hAnsi="仿宋" w:eastAsia="仿宋" w:cs="仿宋"/>
          <w:b/>
          <w:sz w:val="28"/>
          <w:szCs w:val="28"/>
          <w:shd w:val="clear" w:color="auto" w:fill="FFFFFF"/>
        </w:rPr>
        <w:t>交通安全应急预案</w:t>
      </w:r>
      <w:bookmarkEnd w:id="2"/>
    </w:p>
    <w:p w14:paraId="40FDE2F2">
      <w:pPr>
        <w:keepNext w:val="0"/>
        <w:keepLines w:val="0"/>
        <w:pageBreakBefore w:val="0"/>
        <w:kinsoku/>
        <w:wordWrap/>
        <w:overflowPunct/>
        <w:topLinePunct w:val="0"/>
        <w:autoSpaceDE/>
        <w:autoSpaceDN/>
        <w:bidi w:val="0"/>
        <w:spacing w:line="560" w:lineRule="exact"/>
        <w:rPr>
          <w:rFonts w:hint="eastAsia" w:ascii="仿宋" w:hAnsi="仿宋" w:eastAsia="仿宋" w:cs="仿宋"/>
          <w:color w:val="000000"/>
          <w:sz w:val="28"/>
          <w:szCs w:val="28"/>
          <w:shd w:val="clear" w:color="auto" w:fill="FFFFFF"/>
        </w:rPr>
      </w:pPr>
      <w:r>
        <w:rPr>
          <w:rFonts w:hint="eastAsia" w:ascii="仿宋" w:hAnsi="仿宋" w:eastAsia="仿宋" w:cs="仿宋"/>
          <w:b/>
          <w:bCs/>
          <w:color w:val="000000"/>
          <w:sz w:val="28"/>
          <w:szCs w:val="28"/>
          <w:shd w:val="clear" w:color="auto" w:fill="FFFFFF"/>
        </w:rPr>
        <w:t>制定说明</w:t>
      </w:r>
      <w:r>
        <w:rPr>
          <w:rFonts w:hint="eastAsia" w:ascii="仿宋" w:hAnsi="仿宋" w:eastAsia="仿宋" w:cs="仿宋"/>
          <w:color w:val="000000"/>
          <w:sz w:val="28"/>
          <w:szCs w:val="28"/>
          <w:shd w:val="clear" w:color="auto" w:fill="FFFFFF"/>
        </w:rPr>
        <w:t xml:space="preserve"> </w:t>
      </w:r>
    </w:p>
    <w:p w14:paraId="6C1CA1F7">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为确保师生在</w:t>
      </w:r>
      <w:r>
        <w:rPr>
          <w:rFonts w:hint="eastAsia" w:ascii="仿宋" w:hAnsi="仿宋" w:eastAsia="仿宋" w:cs="仿宋"/>
          <w:sz w:val="28"/>
          <w:szCs w:val="28"/>
          <w:shd w:val="clear" w:color="auto" w:fill="FFFFFF"/>
          <w:lang w:eastAsia="zh-CN"/>
        </w:rPr>
        <w:t>外出研修活动</w:t>
      </w:r>
      <w:r>
        <w:rPr>
          <w:rFonts w:hint="eastAsia" w:ascii="仿宋" w:hAnsi="仿宋" w:eastAsia="仿宋" w:cs="仿宋"/>
          <w:sz w:val="28"/>
          <w:szCs w:val="28"/>
          <w:shd w:val="clear" w:color="auto" w:fill="FFFFFF"/>
        </w:rPr>
        <w:t>期间的人身安全，预防在</w:t>
      </w:r>
      <w:r>
        <w:rPr>
          <w:rFonts w:hint="eastAsia" w:ascii="仿宋" w:hAnsi="仿宋" w:eastAsia="仿宋" w:cs="仿宋"/>
          <w:sz w:val="28"/>
          <w:szCs w:val="28"/>
          <w:shd w:val="clear" w:color="auto" w:fill="FFFFFF"/>
          <w:lang w:eastAsia="zh-CN"/>
        </w:rPr>
        <w:t>外出研修活动</w:t>
      </w:r>
      <w:r>
        <w:rPr>
          <w:rFonts w:hint="eastAsia" w:ascii="仿宋" w:hAnsi="仿宋" w:eastAsia="仿宋" w:cs="仿宋"/>
          <w:sz w:val="28"/>
          <w:szCs w:val="28"/>
          <w:shd w:val="clear" w:color="auto" w:fill="FFFFFF"/>
        </w:rPr>
        <w:t>期间可能发生的交通及其他安全事故，确保在第一时间内做好抢救和消除隐患工作，确保学生安全的基础上特制订本预案，以便及时、正确、高效地处置可能发生的交通安全事件，把交通安全事件造成的损害降低到最低程度。</w:t>
      </w:r>
    </w:p>
    <w:p w14:paraId="019B8D3E">
      <w:pPr>
        <w:keepNext w:val="0"/>
        <w:keepLines w:val="0"/>
        <w:pageBreakBefore w:val="0"/>
        <w:kinsoku/>
        <w:wordWrap/>
        <w:overflowPunct/>
        <w:topLinePunct w:val="0"/>
        <w:autoSpaceDE/>
        <w:autoSpaceDN/>
        <w:bidi w:val="0"/>
        <w:spacing w:line="560" w:lineRule="exact"/>
        <w:rPr>
          <w:rFonts w:hint="eastAsia"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制定目标</w:t>
      </w:r>
    </w:p>
    <w:p w14:paraId="521751AF">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建立有效措施和机制，积极预防为主、防患于未然及处理</w:t>
      </w:r>
      <w:r>
        <w:rPr>
          <w:rFonts w:hint="eastAsia" w:ascii="仿宋" w:hAnsi="仿宋" w:eastAsia="仿宋" w:cs="仿宋"/>
          <w:sz w:val="28"/>
          <w:szCs w:val="28"/>
          <w:shd w:val="clear" w:color="auto" w:fill="FFFFFF"/>
          <w:lang w:eastAsia="zh-CN"/>
        </w:rPr>
        <w:t>外出研修活动</w:t>
      </w:r>
      <w:r>
        <w:rPr>
          <w:rFonts w:hint="eastAsia" w:ascii="仿宋" w:hAnsi="仿宋" w:eastAsia="仿宋" w:cs="仿宋"/>
          <w:sz w:val="28"/>
          <w:szCs w:val="28"/>
          <w:shd w:val="clear" w:color="auto" w:fill="FFFFFF"/>
        </w:rPr>
        <w:t>期间交通事故的发生，出行前教育全体师生了解事故发生后的处理程序和办法，依据本规定采取有效预防措施迅速控制事件的进一步恶化，最大限度的减少损失，保持正常的教育教学秩序；建立严格的安全工作负责制度并准确执行，保证交通安全事故发生的可能性降到最小值。</w:t>
      </w:r>
    </w:p>
    <w:p w14:paraId="0EAFD347">
      <w:pPr>
        <w:keepNext w:val="0"/>
        <w:keepLines w:val="0"/>
        <w:pageBreakBefore w:val="0"/>
        <w:kinsoku/>
        <w:wordWrap/>
        <w:overflowPunct/>
        <w:topLinePunct w:val="0"/>
        <w:autoSpaceDE/>
        <w:autoSpaceDN/>
        <w:bidi w:val="0"/>
        <w:spacing w:line="560" w:lineRule="exact"/>
        <w:rPr>
          <w:rFonts w:hint="eastAsia"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适用条件</w:t>
      </w:r>
    </w:p>
    <w:p w14:paraId="10A5D985">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在</w:t>
      </w:r>
      <w:r>
        <w:rPr>
          <w:rFonts w:hint="eastAsia" w:ascii="仿宋" w:hAnsi="仿宋" w:eastAsia="仿宋" w:cs="仿宋"/>
          <w:sz w:val="28"/>
          <w:szCs w:val="28"/>
          <w:shd w:val="clear" w:color="auto" w:fill="FFFFFF"/>
          <w:lang w:eastAsia="zh-CN"/>
        </w:rPr>
        <w:t>外出研修活动</w:t>
      </w:r>
      <w:r>
        <w:rPr>
          <w:rFonts w:hint="eastAsia" w:ascii="仿宋" w:hAnsi="仿宋" w:eastAsia="仿宋" w:cs="仿宋"/>
          <w:sz w:val="28"/>
          <w:szCs w:val="28"/>
          <w:shd w:val="clear" w:color="auto" w:fill="FFFFFF"/>
        </w:rPr>
        <w:t>课程实施过程中一旦出现交通突发事故，立即启动本预案，采取有效预防措施迅速控制情况，最大限度的减少损失，稳定学生情绪，保持正常的</w:t>
      </w:r>
      <w:r>
        <w:rPr>
          <w:rFonts w:hint="eastAsia" w:ascii="仿宋" w:hAnsi="仿宋" w:eastAsia="仿宋" w:cs="仿宋"/>
          <w:sz w:val="28"/>
          <w:szCs w:val="28"/>
          <w:shd w:val="clear" w:color="auto" w:fill="FFFFFF"/>
          <w:lang w:eastAsia="zh-CN"/>
        </w:rPr>
        <w:t>外出研修活动</w:t>
      </w:r>
      <w:r>
        <w:rPr>
          <w:rFonts w:hint="eastAsia" w:ascii="仿宋" w:hAnsi="仿宋" w:eastAsia="仿宋" w:cs="仿宋"/>
          <w:sz w:val="28"/>
          <w:szCs w:val="28"/>
          <w:shd w:val="clear" w:color="auto" w:fill="FFFFFF"/>
        </w:rPr>
        <w:t>秩序。</w:t>
      </w:r>
    </w:p>
    <w:p w14:paraId="1EB57016">
      <w:pPr>
        <w:keepNext w:val="0"/>
        <w:keepLines w:val="0"/>
        <w:pageBreakBefore w:val="0"/>
        <w:kinsoku/>
        <w:wordWrap/>
        <w:overflowPunct/>
        <w:topLinePunct w:val="0"/>
        <w:autoSpaceDE/>
        <w:autoSpaceDN/>
        <w:bidi w:val="0"/>
        <w:spacing w:line="560" w:lineRule="exact"/>
        <w:rPr>
          <w:rFonts w:hint="eastAsia"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组织管理</w:t>
      </w:r>
    </w:p>
    <w:p w14:paraId="0FF463DD">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一旦发生交通安全事故，在校方领队人员的统一指挥调度下，立即开展负责</w:t>
      </w:r>
      <w:r>
        <w:rPr>
          <w:rFonts w:hint="eastAsia" w:ascii="仿宋" w:hAnsi="仿宋" w:eastAsia="仿宋" w:cs="仿宋"/>
          <w:sz w:val="28"/>
          <w:szCs w:val="28"/>
          <w:shd w:val="clear" w:color="auto" w:fill="FFFFFF"/>
          <w:lang w:eastAsia="zh-CN"/>
        </w:rPr>
        <w:t>外出研修活动</w:t>
      </w:r>
      <w:r>
        <w:rPr>
          <w:rFonts w:hint="eastAsia" w:ascii="仿宋" w:hAnsi="仿宋" w:eastAsia="仿宋" w:cs="仿宋"/>
          <w:sz w:val="28"/>
          <w:szCs w:val="28"/>
          <w:shd w:val="clear" w:color="auto" w:fill="FFFFFF"/>
        </w:rPr>
        <w:t>安全控制和医疗救援等应急处理工作，组织对安全事故的调查、应急处理和医疗救治工作以及协调有关部门开展工作；对事件进行资料归类、留档、评价，并总结经验和教训。</w:t>
      </w:r>
    </w:p>
    <w:p w14:paraId="38BEDFB6">
      <w:pPr>
        <w:keepNext w:val="0"/>
        <w:keepLines w:val="0"/>
        <w:pageBreakBefore w:val="0"/>
        <w:kinsoku/>
        <w:wordWrap/>
        <w:overflowPunct/>
        <w:topLinePunct w:val="0"/>
        <w:autoSpaceDE/>
        <w:autoSpaceDN/>
        <w:bidi w:val="0"/>
        <w:spacing w:line="560" w:lineRule="exact"/>
        <w:rPr>
          <w:rFonts w:hint="eastAsia"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乘车要求</w:t>
      </w:r>
    </w:p>
    <w:p w14:paraId="76B6A430">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1、根据</w:t>
      </w:r>
      <w:r>
        <w:rPr>
          <w:rFonts w:hint="eastAsia" w:ascii="仿宋" w:hAnsi="仿宋" w:eastAsia="仿宋" w:cs="仿宋"/>
          <w:sz w:val="28"/>
          <w:szCs w:val="28"/>
          <w:shd w:val="clear" w:color="auto" w:fill="FFFFFF"/>
          <w:lang w:eastAsia="zh-CN"/>
        </w:rPr>
        <w:t>外出研修活动</w:t>
      </w:r>
      <w:r>
        <w:rPr>
          <w:rFonts w:hint="eastAsia" w:ascii="仿宋" w:hAnsi="仿宋" w:eastAsia="仿宋" w:cs="仿宋"/>
          <w:sz w:val="28"/>
          <w:szCs w:val="28"/>
          <w:shd w:val="clear" w:color="auto" w:fill="FFFFFF"/>
        </w:rPr>
        <w:t>的具体时间，编排合理出行日程安排表；</w:t>
      </w:r>
    </w:p>
    <w:p w14:paraId="57E9D629">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2、每辆车配有相应的号码标志；</w:t>
      </w:r>
    </w:p>
    <w:p w14:paraId="166CCEFD">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3、社会实践辅导员将负责提醒学生保持乘坐同一辆车，注意集合时间及地点，并在每次更换地点前统计人数；</w:t>
      </w:r>
    </w:p>
    <w:p w14:paraId="0B6A3DF8">
      <w:pPr>
        <w:keepNext w:val="0"/>
        <w:keepLines w:val="0"/>
        <w:pageBreakBefore w:val="0"/>
        <w:kinsoku/>
        <w:wordWrap/>
        <w:overflowPunct/>
        <w:topLinePunct w:val="0"/>
        <w:autoSpaceDE/>
        <w:autoSpaceDN/>
        <w:bidi w:val="0"/>
        <w:spacing w:line="560" w:lineRule="exact"/>
        <w:ind w:left="547" w:leftChars="228"/>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4、如有学生丢失，须立即安排专人负责寻找，尽量不影响其他学生的行程；</w:t>
      </w:r>
    </w:p>
    <w:p w14:paraId="60822737">
      <w:pPr>
        <w:keepNext w:val="0"/>
        <w:keepLines w:val="0"/>
        <w:pageBreakBefore w:val="0"/>
        <w:kinsoku/>
        <w:wordWrap/>
        <w:overflowPunct/>
        <w:topLinePunct w:val="0"/>
        <w:autoSpaceDE/>
        <w:autoSpaceDN/>
        <w:bidi w:val="0"/>
        <w:spacing w:line="560" w:lineRule="exact"/>
        <w:ind w:left="547" w:leftChars="228"/>
        <w:rPr>
          <w:rFonts w:hint="eastAsia" w:ascii="仿宋" w:hAnsi="仿宋" w:eastAsia="仿宋" w:cs="仿宋"/>
          <w:b w:val="0"/>
          <w:bCs/>
          <w:color w:val="FF0000"/>
          <w:sz w:val="28"/>
          <w:szCs w:val="28"/>
          <w:shd w:val="clear" w:color="auto" w:fill="FFFFFF"/>
          <w:lang w:eastAsia="zh-CN"/>
        </w:rPr>
      </w:pPr>
      <w:r>
        <w:rPr>
          <w:rFonts w:hint="eastAsia" w:ascii="仿宋" w:hAnsi="仿宋" w:eastAsia="仿宋" w:cs="仿宋"/>
          <w:b w:val="0"/>
          <w:bCs/>
          <w:sz w:val="28"/>
          <w:szCs w:val="28"/>
          <w:shd w:val="clear" w:color="auto" w:fill="FFFFFF"/>
        </w:rPr>
        <w:t>5、禁止夜间行车</w:t>
      </w:r>
      <w:r>
        <w:rPr>
          <w:rFonts w:hint="eastAsia" w:ascii="仿宋" w:hAnsi="仿宋" w:eastAsia="仿宋" w:cs="仿宋"/>
          <w:b w:val="0"/>
          <w:bCs/>
          <w:sz w:val="28"/>
          <w:szCs w:val="28"/>
          <w:shd w:val="clear" w:color="auto" w:fill="FFFFFF"/>
          <w:lang w:eastAsia="zh-CN"/>
        </w:rPr>
        <w:t>。</w:t>
      </w:r>
    </w:p>
    <w:p w14:paraId="477FB2FB">
      <w:pPr>
        <w:keepNext w:val="0"/>
        <w:keepLines w:val="0"/>
        <w:pageBreakBefore w:val="0"/>
        <w:kinsoku/>
        <w:wordWrap/>
        <w:overflowPunct/>
        <w:topLinePunct w:val="0"/>
        <w:autoSpaceDE/>
        <w:autoSpaceDN/>
        <w:bidi w:val="0"/>
        <w:spacing w:line="560" w:lineRule="exact"/>
        <w:rPr>
          <w:rFonts w:hint="eastAsia"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车辆要求</w:t>
      </w:r>
    </w:p>
    <w:p w14:paraId="6A0D1B88">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1、须保证</w:t>
      </w:r>
      <w:r>
        <w:rPr>
          <w:rFonts w:hint="eastAsia" w:ascii="仿宋" w:hAnsi="仿宋" w:eastAsia="仿宋" w:cs="仿宋"/>
          <w:sz w:val="28"/>
          <w:szCs w:val="28"/>
          <w:shd w:val="clear" w:color="auto" w:fill="FFFFFF"/>
          <w:lang w:val="en-US" w:eastAsia="zh-CN"/>
        </w:rPr>
        <w:t>车</w:t>
      </w:r>
      <w:r>
        <w:rPr>
          <w:rFonts w:hint="eastAsia" w:ascii="仿宋" w:hAnsi="仿宋" w:eastAsia="仿宋" w:cs="仿宋"/>
          <w:sz w:val="28"/>
          <w:szCs w:val="28"/>
          <w:shd w:val="clear" w:color="auto" w:fill="FFFFFF"/>
        </w:rPr>
        <w:t>辆状况良好、检验合格，保证每人一座。</w:t>
      </w:r>
    </w:p>
    <w:p w14:paraId="74868666">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2、车辆在出发前必须做全面细致的检查，杜绝所有安全隐患，严禁车辆带病上路。</w:t>
      </w:r>
    </w:p>
    <w:p w14:paraId="3707010E">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3、严禁超员、超速行驶，严禁疲劳驾驶、酒后驾驶和带病带情绪驾驶，严禁强抢超车、会车。司机必须有极强的责任心，有丰富的驾驶经验和良好的职业道德。</w:t>
      </w:r>
    </w:p>
    <w:p w14:paraId="42813CCB">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4、车队之间应有通讯设备，保证联络畅通。</w:t>
      </w:r>
    </w:p>
    <w:p w14:paraId="2B46FD9F">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5、对车内卫生要有严格要求，每次出行前都必须保持清洁。</w:t>
      </w:r>
    </w:p>
    <w:p w14:paraId="78F29B79">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6、</w:t>
      </w:r>
      <w:r>
        <w:rPr>
          <w:rFonts w:hint="eastAsia" w:ascii="仿宋" w:hAnsi="仿宋" w:eastAsia="仿宋" w:cs="仿宋"/>
          <w:sz w:val="28"/>
          <w:szCs w:val="28"/>
          <w:shd w:val="clear" w:color="auto" w:fill="FFFFFF"/>
          <w:lang w:eastAsia="zh-CN"/>
        </w:rPr>
        <w:t>外出研修活动</w:t>
      </w:r>
      <w:r>
        <w:rPr>
          <w:rFonts w:hint="eastAsia" w:ascii="仿宋" w:hAnsi="仿宋" w:eastAsia="仿宋" w:cs="仿宋"/>
          <w:sz w:val="28"/>
          <w:szCs w:val="28"/>
          <w:shd w:val="clear" w:color="auto" w:fill="FFFFFF"/>
        </w:rPr>
        <w:t>辅导员须坐在前排负责对司机和行车安全进行监督和提醒。</w:t>
      </w:r>
    </w:p>
    <w:p w14:paraId="1976230E">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7、每车人数不得超员，所有人员必须系好安全带方能开车。</w:t>
      </w:r>
    </w:p>
    <w:p w14:paraId="1857D4BD">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val="en-US" w:eastAsia="zh-CN"/>
        </w:rPr>
        <w:t>8、</w:t>
      </w:r>
      <w:r>
        <w:rPr>
          <w:rFonts w:hint="eastAsia" w:ascii="仿宋" w:hAnsi="仿宋" w:eastAsia="仿宋" w:cs="仿宋"/>
          <w:sz w:val="28"/>
          <w:szCs w:val="28"/>
          <w:shd w:val="clear" w:color="auto" w:fill="FFFFFF"/>
        </w:rPr>
        <w:t>车辆控制：高速路上不得高于90公里/小时；市区道路60公里/小时，辅导老师负责监督。</w:t>
      </w:r>
    </w:p>
    <w:p w14:paraId="746780D5">
      <w:pPr>
        <w:keepNext w:val="0"/>
        <w:keepLines w:val="0"/>
        <w:pageBreakBefore w:val="0"/>
        <w:kinsoku/>
        <w:wordWrap/>
        <w:overflowPunct/>
        <w:topLinePunct w:val="0"/>
        <w:autoSpaceDE/>
        <w:autoSpaceDN/>
        <w:bidi w:val="0"/>
        <w:spacing w:line="560" w:lineRule="exact"/>
        <w:rPr>
          <w:rFonts w:hint="eastAsia"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交通安全事故处理方案</w:t>
      </w:r>
    </w:p>
    <w:p w14:paraId="7823F5A8">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1、每次</w:t>
      </w:r>
      <w:r>
        <w:rPr>
          <w:rFonts w:hint="eastAsia" w:ascii="仿宋" w:hAnsi="仿宋" w:eastAsia="仿宋" w:cs="仿宋"/>
          <w:sz w:val="28"/>
          <w:szCs w:val="28"/>
          <w:shd w:val="clear" w:color="auto" w:fill="FFFFFF"/>
          <w:lang w:eastAsia="zh-CN"/>
        </w:rPr>
        <w:t>外出研修活动</w:t>
      </w:r>
      <w:r>
        <w:rPr>
          <w:rFonts w:hint="eastAsia" w:ascii="仿宋" w:hAnsi="仿宋" w:eastAsia="仿宋" w:cs="仿宋"/>
          <w:sz w:val="28"/>
          <w:szCs w:val="28"/>
          <w:shd w:val="clear" w:color="auto" w:fill="FFFFFF"/>
        </w:rPr>
        <w:t>出行前，须明确交通负责人，并建立现场事故处理组。处理组人员由随队教师和随队服务人员共同组成。</w:t>
      </w:r>
    </w:p>
    <w:p w14:paraId="715C2024">
      <w:pPr>
        <w:keepNext w:val="0"/>
        <w:keepLines w:val="0"/>
        <w:pageBreakBefore w:val="0"/>
        <w:tabs>
          <w:tab w:val="left" w:pos="851"/>
        </w:tabs>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2、工作分工：发生交通事故后，应迅速处理现场情况。根据现场情况决定以下事宜：</w:t>
      </w:r>
    </w:p>
    <w:p w14:paraId="31C044DD">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sym w:font="Wingdings" w:char="F0D8"/>
      </w:r>
      <w:r>
        <w:rPr>
          <w:rFonts w:hint="eastAsia" w:ascii="仿宋" w:hAnsi="仿宋" w:eastAsia="仿宋" w:cs="仿宋"/>
          <w:sz w:val="28"/>
          <w:szCs w:val="28"/>
          <w:shd w:val="clear" w:color="auto" w:fill="FFFFFF"/>
        </w:rPr>
        <w:t xml:space="preserve"> 向交警报告情况；</w:t>
      </w:r>
    </w:p>
    <w:p w14:paraId="33984526">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sym w:font="Wingdings" w:char="F0D8"/>
      </w:r>
      <w:r>
        <w:rPr>
          <w:rFonts w:hint="eastAsia" w:ascii="仿宋" w:hAnsi="仿宋" w:eastAsia="仿宋" w:cs="仿宋"/>
          <w:sz w:val="28"/>
          <w:szCs w:val="28"/>
          <w:shd w:val="clear" w:color="auto" w:fill="FFFFFF"/>
        </w:rPr>
        <w:t xml:space="preserve"> 向医院要求，做好抢救准备；</w:t>
      </w:r>
    </w:p>
    <w:p w14:paraId="61469379">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sym w:font="Wingdings" w:char="F0D8"/>
      </w:r>
      <w:r>
        <w:rPr>
          <w:rFonts w:hint="eastAsia" w:ascii="仿宋" w:hAnsi="仿宋" w:eastAsia="仿宋" w:cs="仿宋"/>
          <w:sz w:val="28"/>
          <w:szCs w:val="28"/>
          <w:shd w:val="clear" w:color="auto" w:fill="FFFFFF"/>
        </w:rPr>
        <w:t xml:space="preserve"> 向校内报告。</w:t>
      </w:r>
    </w:p>
    <w:p w14:paraId="3FF22C09">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sym w:font="Wingdings" w:char="F0D8"/>
      </w:r>
      <w:r>
        <w:rPr>
          <w:rFonts w:hint="eastAsia" w:ascii="仿宋" w:hAnsi="仿宋" w:eastAsia="仿宋" w:cs="仿宋"/>
          <w:sz w:val="28"/>
          <w:szCs w:val="28"/>
          <w:shd w:val="clear" w:color="auto" w:fill="FFFFFF"/>
        </w:rPr>
        <w:t xml:space="preserve"> 迅速落实医院、车辆及有关人员。</w:t>
      </w:r>
    </w:p>
    <w:p w14:paraId="5466365E">
      <w:pPr>
        <w:keepNext w:val="0"/>
        <w:keepLines w:val="0"/>
        <w:pageBreakBefore w:val="0"/>
        <w:kinsoku/>
        <w:wordWrap/>
        <w:overflowPunct/>
        <w:topLinePunct w:val="0"/>
        <w:autoSpaceDE/>
        <w:autoSpaceDN/>
        <w:bidi w:val="0"/>
        <w:spacing w:line="560" w:lineRule="exact"/>
        <w:ind w:right="-389" w:rightChars="-162"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3、通讯要求：</w:t>
      </w:r>
      <w:r>
        <w:rPr>
          <w:rFonts w:hint="eastAsia" w:ascii="仿宋" w:hAnsi="仿宋" w:eastAsia="仿宋" w:cs="仿宋"/>
          <w:sz w:val="28"/>
          <w:szCs w:val="28"/>
          <w:shd w:val="clear" w:color="auto" w:fill="FFFFFF"/>
          <w:lang w:eastAsia="zh-CN"/>
        </w:rPr>
        <w:t>外出研修活动</w:t>
      </w:r>
      <w:r>
        <w:rPr>
          <w:rFonts w:hint="eastAsia" w:ascii="仿宋" w:hAnsi="仿宋" w:eastAsia="仿宋" w:cs="仿宋"/>
          <w:sz w:val="28"/>
          <w:szCs w:val="28"/>
          <w:shd w:val="clear" w:color="auto" w:fill="FFFFFF"/>
        </w:rPr>
        <w:t>期间，所有相关人员必须保持通信畅通，手机应做到24 小时开机。</w:t>
      </w:r>
    </w:p>
    <w:p w14:paraId="042CAC4B">
      <w:pPr>
        <w:keepNext w:val="0"/>
        <w:keepLines w:val="0"/>
        <w:pageBreakBefore w:val="0"/>
        <w:kinsoku/>
        <w:wordWrap/>
        <w:overflowPunct/>
        <w:topLinePunct w:val="0"/>
        <w:autoSpaceDE/>
        <w:autoSpaceDN/>
        <w:bidi w:val="0"/>
        <w:spacing w:line="560" w:lineRule="exact"/>
        <w:rPr>
          <w:rFonts w:hint="eastAsia"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其他</w:t>
      </w:r>
    </w:p>
    <w:p w14:paraId="2F528D54">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参加</w:t>
      </w:r>
      <w:r>
        <w:rPr>
          <w:rFonts w:hint="eastAsia" w:ascii="仿宋" w:hAnsi="仿宋" w:eastAsia="仿宋" w:cs="仿宋"/>
          <w:sz w:val="28"/>
          <w:szCs w:val="28"/>
          <w:shd w:val="clear" w:color="auto" w:fill="FFFFFF"/>
          <w:lang w:eastAsia="zh-CN"/>
        </w:rPr>
        <w:t>外出研修活动</w:t>
      </w:r>
      <w:r>
        <w:rPr>
          <w:rFonts w:hint="eastAsia" w:ascii="仿宋" w:hAnsi="仿宋" w:eastAsia="仿宋" w:cs="仿宋"/>
          <w:sz w:val="28"/>
          <w:szCs w:val="28"/>
          <w:shd w:val="clear" w:color="auto" w:fill="FFFFFF"/>
        </w:rPr>
        <w:t>的所有教师和现场工作人员均有权、有义务立即报告交通安全事故的发生情况。</w:t>
      </w:r>
    </w:p>
    <w:p w14:paraId="37D3E70A">
      <w:pPr>
        <w:keepNext w:val="0"/>
        <w:keepLines w:val="0"/>
        <w:pageBreakBefore w:val="0"/>
        <w:kinsoku/>
        <w:wordWrap/>
        <w:overflowPunct/>
        <w:topLinePunct w:val="0"/>
        <w:autoSpaceDE/>
        <w:autoSpaceDN/>
        <w:bidi w:val="0"/>
        <w:spacing w:line="560" w:lineRule="exact"/>
        <w:rPr>
          <w:rFonts w:hint="eastAsia" w:ascii="仿宋" w:hAnsi="仿宋" w:eastAsia="仿宋" w:cs="仿宋"/>
          <w:b/>
          <w:sz w:val="28"/>
          <w:szCs w:val="28"/>
          <w:shd w:val="clear" w:color="auto" w:fill="FFFFFF"/>
        </w:rPr>
      </w:pPr>
      <w:bookmarkStart w:id="3" w:name="_Toc414978745"/>
    </w:p>
    <w:p w14:paraId="1BE6FE87">
      <w:pPr>
        <w:keepNext w:val="0"/>
        <w:keepLines w:val="0"/>
        <w:pageBreakBefore w:val="0"/>
        <w:kinsoku/>
        <w:wordWrap/>
        <w:overflowPunct/>
        <w:topLinePunct w:val="0"/>
        <w:autoSpaceDE/>
        <w:autoSpaceDN/>
        <w:bidi w:val="0"/>
        <w:spacing w:line="560" w:lineRule="exact"/>
        <w:ind w:firstLine="0" w:firstLineChars="0"/>
        <w:jc w:val="center"/>
        <w:rPr>
          <w:rFonts w:hint="eastAsia" w:ascii="仿宋" w:hAnsi="仿宋" w:eastAsia="仿宋" w:cs="仿宋"/>
          <w:b/>
          <w:sz w:val="28"/>
          <w:szCs w:val="28"/>
          <w:shd w:val="clear" w:color="auto" w:fill="FFFFFF"/>
        </w:rPr>
      </w:pPr>
      <w:r>
        <w:rPr>
          <w:rFonts w:hint="eastAsia" w:ascii="仿宋" w:hAnsi="仿宋" w:eastAsia="仿宋" w:cs="仿宋"/>
          <w:b/>
          <w:sz w:val="28"/>
          <w:szCs w:val="28"/>
          <w:shd w:val="clear" w:color="auto" w:fill="FFFFFF"/>
        </w:rPr>
        <w:t>3</w:t>
      </w:r>
      <w:r>
        <w:rPr>
          <w:rFonts w:hint="eastAsia" w:ascii="仿宋" w:hAnsi="仿宋" w:eastAsia="仿宋" w:cs="仿宋"/>
          <w:b/>
          <w:sz w:val="28"/>
          <w:szCs w:val="28"/>
          <w:shd w:val="clear" w:color="auto" w:fill="FFFFFF"/>
          <w:lang w:val="en-US" w:eastAsia="zh-CN"/>
        </w:rPr>
        <w:t>-</w:t>
      </w:r>
      <w:r>
        <w:rPr>
          <w:rFonts w:hint="eastAsia" w:ascii="仿宋" w:hAnsi="仿宋" w:eastAsia="仿宋" w:cs="仿宋"/>
          <w:b/>
          <w:sz w:val="28"/>
          <w:szCs w:val="28"/>
          <w:shd w:val="clear" w:color="auto" w:fill="FFFFFF"/>
        </w:rPr>
        <w:t>住宿安全应急预案</w:t>
      </w:r>
    </w:p>
    <w:p w14:paraId="71CD7F34">
      <w:pPr>
        <w:keepNext w:val="0"/>
        <w:keepLines w:val="0"/>
        <w:pageBreakBefore w:val="0"/>
        <w:kinsoku/>
        <w:wordWrap/>
        <w:overflowPunct/>
        <w:topLinePunct w:val="0"/>
        <w:autoSpaceDE/>
        <w:autoSpaceDN/>
        <w:bidi w:val="0"/>
        <w:spacing w:line="560" w:lineRule="exact"/>
        <w:rPr>
          <w:rFonts w:hint="eastAsia" w:ascii="仿宋" w:hAnsi="仿宋" w:eastAsia="仿宋" w:cs="仿宋"/>
          <w:sz w:val="28"/>
          <w:szCs w:val="28"/>
        </w:rPr>
      </w:pPr>
      <w:r>
        <w:rPr>
          <w:rFonts w:hint="eastAsia" w:ascii="仿宋" w:hAnsi="仿宋" w:eastAsia="仿宋" w:cs="仿宋"/>
          <w:b/>
          <w:bCs/>
          <w:sz w:val="28"/>
          <w:szCs w:val="28"/>
        </w:rPr>
        <w:t>制定说明</w:t>
      </w:r>
      <w:r>
        <w:rPr>
          <w:rFonts w:hint="eastAsia" w:ascii="仿宋" w:hAnsi="仿宋" w:eastAsia="仿宋" w:cs="仿宋"/>
          <w:sz w:val="28"/>
          <w:szCs w:val="28"/>
        </w:rPr>
        <w:t xml:space="preserve"> </w:t>
      </w:r>
    </w:p>
    <w:p w14:paraId="239EB638">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为确保师生在</w:t>
      </w:r>
      <w:r>
        <w:rPr>
          <w:rFonts w:hint="eastAsia" w:ascii="仿宋" w:hAnsi="仿宋" w:eastAsia="仿宋" w:cs="仿宋"/>
          <w:sz w:val="28"/>
          <w:szCs w:val="28"/>
          <w:lang w:eastAsia="zh-CN"/>
        </w:rPr>
        <w:t>研修</w:t>
      </w:r>
      <w:r>
        <w:rPr>
          <w:rFonts w:hint="eastAsia" w:ascii="仿宋" w:hAnsi="仿宋" w:eastAsia="仿宋" w:cs="仿宋"/>
          <w:sz w:val="28"/>
          <w:szCs w:val="28"/>
        </w:rPr>
        <w:t>课程学习活动期间的人身安全，预防在</w:t>
      </w:r>
      <w:r>
        <w:rPr>
          <w:rFonts w:hint="eastAsia" w:ascii="仿宋" w:hAnsi="仿宋" w:eastAsia="仿宋" w:cs="仿宋"/>
          <w:sz w:val="28"/>
          <w:szCs w:val="28"/>
          <w:lang w:eastAsia="zh-CN"/>
        </w:rPr>
        <w:t>研修</w:t>
      </w:r>
      <w:r>
        <w:rPr>
          <w:rFonts w:hint="eastAsia" w:ascii="仿宋" w:hAnsi="仿宋" w:eastAsia="仿宋" w:cs="仿宋"/>
          <w:sz w:val="28"/>
          <w:szCs w:val="28"/>
        </w:rPr>
        <w:t>课程学习活动期间可能发生的住宿安全事故，确保在第一时间内做好抢救和消除隐患工作，确保学生安全，在</w:t>
      </w:r>
      <w:r>
        <w:rPr>
          <w:rFonts w:hint="eastAsia" w:ascii="仿宋" w:hAnsi="仿宋" w:eastAsia="仿宋" w:cs="仿宋"/>
          <w:sz w:val="28"/>
          <w:szCs w:val="28"/>
          <w:lang w:eastAsia="zh-CN"/>
        </w:rPr>
        <w:t>研修</w:t>
      </w:r>
      <w:r>
        <w:rPr>
          <w:rFonts w:hint="eastAsia" w:ascii="仿宋" w:hAnsi="仿宋" w:eastAsia="仿宋" w:cs="仿宋"/>
          <w:sz w:val="28"/>
          <w:szCs w:val="28"/>
        </w:rPr>
        <w:t>活动的基础上特制订本预案，以便及时、正确、高校地处置可能发生的住宿安全事件，把住宿安全事件造成的损害降低到最低程度。</w:t>
      </w:r>
    </w:p>
    <w:p w14:paraId="2D3987EE">
      <w:pPr>
        <w:keepNext w:val="0"/>
        <w:keepLines w:val="0"/>
        <w:pageBreakBefore w:val="0"/>
        <w:kinsoku/>
        <w:wordWrap/>
        <w:overflowPunct/>
        <w:topLinePunct w:val="0"/>
        <w:autoSpaceDE/>
        <w:autoSpaceDN/>
        <w:bidi w:val="0"/>
        <w:spacing w:line="560" w:lineRule="exact"/>
        <w:ind w:firstLine="0" w:firstLineChars="0"/>
        <w:rPr>
          <w:rFonts w:hint="eastAsia" w:ascii="仿宋" w:hAnsi="仿宋" w:eastAsia="仿宋" w:cs="仿宋"/>
          <w:b/>
          <w:bCs/>
          <w:sz w:val="28"/>
          <w:szCs w:val="28"/>
        </w:rPr>
      </w:pPr>
      <w:r>
        <w:rPr>
          <w:rFonts w:hint="eastAsia" w:ascii="仿宋" w:hAnsi="仿宋" w:eastAsia="仿宋" w:cs="仿宋"/>
          <w:b/>
          <w:bCs/>
          <w:sz w:val="28"/>
          <w:szCs w:val="28"/>
        </w:rPr>
        <w:t>制定目标</w:t>
      </w:r>
    </w:p>
    <w:p w14:paraId="41A6660A">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校方提前指导参加</w:t>
      </w:r>
      <w:r>
        <w:rPr>
          <w:rFonts w:hint="eastAsia" w:ascii="仿宋" w:hAnsi="仿宋" w:eastAsia="仿宋" w:cs="仿宋"/>
          <w:sz w:val="28"/>
          <w:szCs w:val="28"/>
          <w:lang w:eastAsia="zh-CN"/>
        </w:rPr>
        <w:t>研修</w:t>
      </w:r>
      <w:r>
        <w:rPr>
          <w:rFonts w:hint="eastAsia" w:ascii="仿宋" w:hAnsi="仿宋" w:eastAsia="仿宋" w:cs="仿宋"/>
          <w:sz w:val="28"/>
          <w:szCs w:val="28"/>
        </w:rPr>
        <w:t>课程的老师做好出现住宿安全事故的应急处理，积极预防和处理</w:t>
      </w:r>
      <w:r>
        <w:rPr>
          <w:rFonts w:hint="eastAsia" w:ascii="仿宋" w:hAnsi="仿宋" w:eastAsia="仿宋" w:cs="仿宋"/>
          <w:sz w:val="28"/>
          <w:szCs w:val="28"/>
          <w:lang w:eastAsia="zh-CN"/>
        </w:rPr>
        <w:t>研修</w:t>
      </w:r>
      <w:r>
        <w:rPr>
          <w:rFonts w:hint="eastAsia" w:ascii="仿宋" w:hAnsi="仿宋" w:eastAsia="仿宋" w:cs="仿宋"/>
          <w:sz w:val="28"/>
          <w:szCs w:val="28"/>
        </w:rPr>
        <w:t>期间住宿安全事故的发生，教育全体参加</w:t>
      </w:r>
      <w:r>
        <w:rPr>
          <w:rFonts w:hint="eastAsia" w:ascii="仿宋" w:hAnsi="仿宋" w:eastAsia="仿宋" w:cs="仿宋"/>
          <w:sz w:val="28"/>
          <w:szCs w:val="28"/>
          <w:lang w:eastAsia="zh-CN"/>
        </w:rPr>
        <w:t>研修</w:t>
      </w:r>
      <w:r>
        <w:rPr>
          <w:rFonts w:hint="eastAsia" w:ascii="仿宋" w:hAnsi="仿宋" w:eastAsia="仿宋" w:cs="仿宋"/>
          <w:sz w:val="28"/>
          <w:szCs w:val="28"/>
        </w:rPr>
        <w:t>课程学习的学生了解和掌握在外住宿时事故发生后的处理程序和办法，依据本规定采取有效预防措施，迅速控制事件的进一步恶化，最大限度的减少损失，保持正常的教育教学秩序；依据本规定建立严格的安全工作负责制度并严格执行，保证将住宿安全事故发生的可能性降到最小值。</w:t>
      </w:r>
    </w:p>
    <w:p w14:paraId="5694F7BC">
      <w:pPr>
        <w:keepNext w:val="0"/>
        <w:keepLines w:val="0"/>
        <w:pageBreakBefore w:val="0"/>
        <w:kinsoku/>
        <w:wordWrap/>
        <w:overflowPunct/>
        <w:topLinePunct w:val="0"/>
        <w:autoSpaceDE/>
        <w:autoSpaceDN/>
        <w:bidi w:val="0"/>
        <w:spacing w:line="560" w:lineRule="exact"/>
        <w:rPr>
          <w:rFonts w:hint="eastAsia" w:ascii="仿宋" w:hAnsi="仿宋" w:eastAsia="仿宋" w:cs="仿宋"/>
          <w:b/>
          <w:bCs/>
          <w:sz w:val="28"/>
          <w:szCs w:val="28"/>
        </w:rPr>
      </w:pPr>
      <w:r>
        <w:rPr>
          <w:rFonts w:hint="eastAsia" w:ascii="仿宋" w:hAnsi="仿宋" w:eastAsia="仿宋" w:cs="仿宋"/>
          <w:b/>
          <w:bCs/>
          <w:sz w:val="28"/>
          <w:szCs w:val="28"/>
        </w:rPr>
        <w:t>适用条件</w:t>
      </w:r>
    </w:p>
    <w:p w14:paraId="1B5D1788">
      <w:pPr>
        <w:keepNext w:val="0"/>
        <w:keepLines w:val="0"/>
        <w:pageBreakBefore w:val="0"/>
        <w:kinsoku/>
        <w:wordWrap/>
        <w:overflowPunct/>
        <w:topLinePunct w:val="0"/>
        <w:autoSpaceDE/>
        <w:autoSpaceDN/>
        <w:bidi w:val="0"/>
        <w:spacing w:line="56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 xml:space="preserve">  在</w:t>
      </w:r>
      <w:r>
        <w:rPr>
          <w:rFonts w:hint="eastAsia" w:ascii="仿宋" w:hAnsi="仿宋" w:eastAsia="仿宋" w:cs="仿宋"/>
          <w:sz w:val="28"/>
          <w:szCs w:val="28"/>
          <w:lang w:eastAsia="zh-CN"/>
        </w:rPr>
        <w:t>研修</w:t>
      </w:r>
      <w:r>
        <w:rPr>
          <w:rFonts w:hint="eastAsia" w:ascii="仿宋" w:hAnsi="仿宋" w:eastAsia="仿宋" w:cs="仿宋"/>
          <w:sz w:val="28"/>
          <w:szCs w:val="28"/>
        </w:rPr>
        <w:t>课程实施过程中一旦出现住宿安全事故，立即启动本预案，采取有效预防措施迅速控制情况，最大限度的减少损失，稳定学生情绪，保持正常的</w:t>
      </w:r>
      <w:r>
        <w:rPr>
          <w:rFonts w:hint="eastAsia" w:ascii="仿宋" w:hAnsi="仿宋" w:eastAsia="仿宋" w:cs="仿宋"/>
          <w:sz w:val="28"/>
          <w:szCs w:val="28"/>
          <w:lang w:eastAsia="zh-CN"/>
        </w:rPr>
        <w:t>研修</w:t>
      </w:r>
      <w:r>
        <w:rPr>
          <w:rFonts w:hint="eastAsia" w:ascii="仿宋" w:hAnsi="仿宋" w:eastAsia="仿宋" w:cs="仿宋"/>
          <w:sz w:val="28"/>
          <w:szCs w:val="28"/>
        </w:rPr>
        <w:t>课程的学习秩序。</w:t>
      </w:r>
    </w:p>
    <w:p w14:paraId="3FF1F179">
      <w:pPr>
        <w:keepNext w:val="0"/>
        <w:keepLines w:val="0"/>
        <w:pageBreakBefore w:val="0"/>
        <w:kinsoku/>
        <w:wordWrap/>
        <w:overflowPunct/>
        <w:topLinePunct w:val="0"/>
        <w:autoSpaceDE/>
        <w:autoSpaceDN/>
        <w:bidi w:val="0"/>
        <w:spacing w:line="560" w:lineRule="exact"/>
        <w:rPr>
          <w:rFonts w:hint="eastAsia" w:ascii="仿宋" w:hAnsi="仿宋" w:eastAsia="仿宋" w:cs="仿宋"/>
          <w:b/>
          <w:bCs/>
          <w:sz w:val="28"/>
          <w:szCs w:val="28"/>
        </w:rPr>
      </w:pPr>
      <w:r>
        <w:rPr>
          <w:rFonts w:hint="eastAsia" w:ascii="仿宋" w:hAnsi="仿宋" w:eastAsia="仿宋" w:cs="仿宋"/>
          <w:b/>
          <w:bCs/>
          <w:sz w:val="28"/>
          <w:szCs w:val="28"/>
        </w:rPr>
        <w:t>组织管理</w:t>
      </w:r>
    </w:p>
    <w:p w14:paraId="01D07283">
      <w:pPr>
        <w:keepNext w:val="0"/>
        <w:keepLines w:val="0"/>
        <w:pageBreakBefore w:val="0"/>
        <w:kinsoku/>
        <w:wordWrap/>
        <w:overflowPunct/>
        <w:topLinePunct w:val="0"/>
        <w:autoSpaceDE/>
        <w:autoSpaceDN/>
        <w:bidi w:val="0"/>
        <w:spacing w:line="56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 xml:space="preserve">  一旦发生住宿安全事故，在带队领队人员的统一调度下，立即开展</w:t>
      </w:r>
      <w:r>
        <w:rPr>
          <w:rFonts w:hint="eastAsia" w:ascii="仿宋" w:hAnsi="仿宋" w:eastAsia="仿宋" w:cs="仿宋"/>
          <w:sz w:val="28"/>
          <w:szCs w:val="28"/>
          <w:lang w:eastAsia="zh-CN"/>
        </w:rPr>
        <w:t>研修</w:t>
      </w:r>
      <w:r>
        <w:rPr>
          <w:rFonts w:hint="eastAsia" w:ascii="仿宋" w:hAnsi="仿宋" w:eastAsia="仿宋" w:cs="仿宋"/>
          <w:sz w:val="28"/>
          <w:szCs w:val="28"/>
        </w:rPr>
        <w:t>安全控制和医疗救援等应急处理工作，组织对安全事故的调查、应急处理和医疗救治工作以及协调有关部门开展工作；对事件进行资料归类、留档、评价，并总结经验和教训。</w:t>
      </w:r>
    </w:p>
    <w:p w14:paraId="0CE126BA">
      <w:pPr>
        <w:keepNext w:val="0"/>
        <w:keepLines w:val="0"/>
        <w:pageBreakBefore w:val="0"/>
        <w:kinsoku/>
        <w:wordWrap/>
        <w:overflowPunct/>
        <w:topLinePunct w:val="0"/>
        <w:autoSpaceDE/>
        <w:autoSpaceDN/>
        <w:bidi w:val="0"/>
        <w:spacing w:line="560" w:lineRule="exact"/>
        <w:rPr>
          <w:rFonts w:hint="eastAsia" w:ascii="仿宋" w:hAnsi="仿宋" w:eastAsia="仿宋" w:cs="仿宋"/>
          <w:b/>
          <w:bCs/>
          <w:sz w:val="28"/>
          <w:szCs w:val="28"/>
        </w:rPr>
      </w:pPr>
      <w:r>
        <w:rPr>
          <w:rFonts w:hint="eastAsia" w:ascii="仿宋" w:hAnsi="仿宋" w:eastAsia="仿宋" w:cs="仿宋"/>
          <w:b/>
          <w:bCs/>
          <w:sz w:val="28"/>
          <w:szCs w:val="28"/>
        </w:rPr>
        <w:t>住宿原则</w:t>
      </w:r>
    </w:p>
    <w:p w14:paraId="7101F504">
      <w:pPr>
        <w:keepNext w:val="0"/>
        <w:keepLines w:val="0"/>
        <w:pageBreakBefore w:val="0"/>
        <w:kinsoku/>
        <w:wordWrap/>
        <w:overflowPunct/>
        <w:topLinePunct w:val="0"/>
        <w:autoSpaceDE/>
        <w:autoSpaceDN/>
        <w:bidi w:val="0"/>
        <w:spacing w:line="56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1、房间标准：住宿宾馆都是符合国家相关要求的正规酒店或宾馆，双人间，24小时热水，宾馆服务设施完备。</w:t>
      </w:r>
    </w:p>
    <w:p w14:paraId="085CDDC4">
      <w:pPr>
        <w:keepNext w:val="0"/>
        <w:keepLines w:val="0"/>
        <w:pageBreakBefore w:val="0"/>
        <w:kinsoku/>
        <w:wordWrap/>
        <w:overflowPunct/>
        <w:topLinePunct w:val="0"/>
        <w:autoSpaceDE/>
        <w:autoSpaceDN/>
        <w:bidi w:val="0"/>
        <w:spacing w:line="56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2、团队入住前三日与酒店负责人联系并签订协议，介绍此行情况，并逐一落实各项要求及房间数量、类型。</w:t>
      </w:r>
    </w:p>
    <w:p w14:paraId="5B01651D">
      <w:pPr>
        <w:keepNext w:val="0"/>
        <w:keepLines w:val="0"/>
        <w:pageBreakBefore w:val="0"/>
        <w:kinsoku/>
        <w:wordWrap/>
        <w:overflowPunct/>
        <w:topLinePunct w:val="0"/>
        <w:autoSpaceDE/>
        <w:autoSpaceDN/>
        <w:bidi w:val="0"/>
        <w:spacing w:line="56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3、 确认学生用房的各种类型房间数及方向位置（分布的楼层及是否靠近电梯）。</w:t>
      </w:r>
    </w:p>
    <w:p w14:paraId="06961673">
      <w:pPr>
        <w:keepNext w:val="0"/>
        <w:keepLines w:val="0"/>
        <w:pageBreakBefore w:val="0"/>
        <w:kinsoku/>
        <w:wordWrap/>
        <w:overflowPunct/>
        <w:topLinePunct w:val="0"/>
        <w:autoSpaceDE/>
        <w:autoSpaceDN/>
        <w:bidi w:val="0"/>
        <w:spacing w:line="56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4、学生抵达前一小时，须要求宾馆完成对房间清洁卫生工作，同时检查房间内设施是否能正常使用；提前得到所有房间号码，根据组织者提供的分房名单进行分房；学生抵达后30分钟内为所有学生办理入住手续，并领取房间钥匙，保证学生能快速进入房间休息。</w:t>
      </w:r>
    </w:p>
    <w:p w14:paraId="01CBF71E">
      <w:pPr>
        <w:keepNext w:val="0"/>
        <w:keepLines w:val="0"/>
        <w:pageBreakBefore w:val="0"/>
        <w:kinsoku/>
        <w:wordWrap/>
        <w:overflowPunct/>
        <w:topLinePunct w:val="0"/>
        <w:autoSpaceDE/>
        <w:autoSpaceDN/>
        <w:bidi w:val="0"/>
        <w:spacing w:line="560" w:lineRule="exact"/>
        <w:rPr>
          <w:rFonts w:hint="eastAsia" w:ascii="仿宋" w:hAnsi="仿宋" w:eastAsia="仿宋" w:cs="仿宋"/>
          <w:b/>
          <w:bCs/>
          <w:sz w:val="28"/>
          <w:szCs w:val="28"/>
        </w:rPr>
      </w:pPr>
      <w:r>
        <w:rPr>
          <w:rFonts w:hint="eastAsia" w:ascii="仿宋" w:hAnsi="仿宋" w:eastAsia="仿宋" w:cs="仿宋"/>
          <w:b/>
          <w:bCs/>
          <w:sz w:val="28"/>
          <w:szCs w:val="28"/>
        </w:rPr>
        <w:t>安全知识教育和预习演练</w:t>
      </w:r>
    </w:p>
    <w:p w14:paraId="01832127">
      <w:pPr>
        <w:keepNext w:val="0"/>
        <w:keepLines w:val="0"/>
        <w:pageBreakBefore w:val="0"/>
        <w:kinsoku/>
        <w:wordWrap/>
        <w:overflowPunct/>
        <w:topLinePunct w:val="0"/>
        <w:autoSpaceDE/>
        <w:autoSpaceDN/>
        <w:bidi w:val="0"/>
        <w:spacing w:line="56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1、在住宿酒店进行消防安全演练，培养灾难意识；</w:t>
      </w:r>
    </w:p>
    <w:p w14:paraId="7EBDB250">
      <w:pPr>
        <w:keepNext w:val="0"/>
        <w:keepLines w:val="0"/>
        <w:pageBreakBefore w:val="0"/>
        <w:kinsoku/>
        <w:wordWrap/>
        <w:overflowPunct/>
        <w:topLinePunct w:val="0"/>
        <w:autoSpaceDE/>
        <w:autoSpaceDN/>
        <w:bidi w:val="0"/>
        <w:spacing w:line="56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2、晚上校方带队老师和</w:t>
      </w:r>
      <w:r>
        <w:rPr>
          <w:rFonts w:hint="eastAsia" w:ascii="仿宋" w:hAnsi="仿宋" w:eastAsia="仿宋" w:cs="仿宋"/>
          <w:sz w:val="28"/>
          <w:szCs w:val="28"/>
          <w:lang w:eastAsia="zh-CN"/>
        </w:rPr>
        <w:t>研修</w:t>
      </w:r>
      <w:r>
        <w:rPr>
          <w:rFonts w:hint="eastAsia" w:ascii="仿宋" w:hAnsi="仿宋" w:eastAsia="仿宋" w:cs="仿宋"/>
          <w:sz w:val="28"/>
          <w:szCs w:val="28"/>
        </w:rPr>
        <w:t>辅导员要共同值班、查房，重点防范学生自主外出、火灾、失盗等隐患。</w:t>
      </w:r>
    </w:p>
    <w:p w14:paraId="7D66AE70">
      <w:pPr>
        <w:keepNext w:val="0"/>
        <w:keepLines w:val="0"/>
        <w:pageBreakBefore w:val="0"/>
        <w:kinsoku/>
        <w:wordWrap/>
        <w:overflowPunct/>
        <w:topLinePunct w:val="0"/>
        <w:autoSpaceDE/>
        <w:autoSpaceDN/>
        <w:bidi w:val="0"/>
        <w:spacing w:line="560" w:lineRule="exact"/>
        <w:rPr>
          <w:rFonts w:hint="eastAsia" w:ascii="仿宋" w:hAnsi="仿宋" w:eastAsia="仿宋" w:cs="仿宋"/>
          <w:b/>
          <w:bCs/>
          <w:sz w:val="28"/>
          <w:szCs w:val="28"/>
        </w:rPr>
      </w:pPr>
      <w:r>
        <w:rPr>
          <w:rFonts w:hint="eastAsia" w:ascii="仿宋" w:hAnsi="仿宋" w:eastAsia="仿宋" w:cs="仿宋"/>
          <w:b/>
          <w:bCs/>
          <w:sz w:val="28"/>
          <w:szCs w:val="28"/>
        </w:rPr>
        <w:t>住宿安全事故处理方案</w:t>
      </w:r>
    </w:p>
    <w:p w14:paraId="44A1F29D">
      <w:pPr>
        <w:keepNext w:val="0"/>
        <w:keepLines w:val="0"/>
        <w:pageBreakBefore w:val="0"/>
        <w:kinsoku/>
        <w:wordWrap/>
        <w:overflowPunct/>
        <w:topLinePunct w:val="0"/>
        <w:autoSpaceDE/>
        <w:autoSpaceDN/>
        <w:bidi w:val="0"/>
        <w:spacing w:line="56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研修</w:t>
      </w:r>
      <w:r>
        <w:rPr>
          <w:rFonts w:hint="eastAsia" w:ascii="仿宋" w:hAnsi="仿宋" w:eastAsia="仿宋" w:cs="仿宋"/>
          <w:sz w:val="28"/>
          <w:szCs w:val="28"/>
        </w:rPr>
        <w:t>活动出发前，校方需任命住宿安全总负责人。</w:t>
      </w:r>
    </w:p>
    <w:p w14:paraId="6430BDA4">
      <w:pPr>
        <w:keepNext w:val="0"/>
        <w:keepLines w:val="0"/>
        <w:pageBreakBefore w:val="0"/>
        <w:kinsoku/>
        <w:wordWrap/>
        <w:overflowPunct/>
        <w:topLinePunct w:val="0"/>
        <w:autoSpaceDE/>
        <w:autoSpaceDN/>
        <w:bidi w:val="0"/>
        <w:spacing w:line="56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2、工作分工：发生住宿事故后，根据现场情况决定以下事宜：</w:t>
      </w:r>
    </w:p>
    <w:p w14:paraId="58B43D7C">
      <w:pPr>
        <w:keepNext w:val="0"/>
        <w:keepLines w:val="0"/>
        <w:pageBreakBefore w:val="0"/>
        <w:kinsoku/>
        <w:wordWrap/>
        <w:overflowPunct/>
        <w:topLinePunct w:val="0"/>
        <w:autoSpaceDE/>
        <w:autoSpaceDN/>
        <w:bidi w:val="0"/>
        <w:spacing w:line="56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 向学校报告情况；</w:t>
      </w:r>
    </w:p>
    <w:p w14:paraId="49139754">
      <w:pPr>
        <w:keepNext w:val="0"/>
        <w:keepLines w:val="0"/>
        <w:pageBreakBefore w:val="0"/>
        <w:kinsoku/>
        <w:wordWrap/>
        <w:overflowPunct/>
        <w:topLinePunct w:val="0"/>
        <w:autoSpaceDE/>
        <w:autoSpaceDN/>
        <w:bidi w:val="0"/>
        <w:spacing w:line="56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 向医院要求，做好抢救准备；</w:t>
      </w:r>
    </w:p>
    <w:p w14:paraId="44AFC722">
      <w:pPr>
        <w:keepNext w:val="0"/>
        <w:keepLines w:val="0"/>
        <w:pageBreakBefore w:val="0"/>
        <w:kinsoku/>
        <w:wordWrap/>
        <w:overflowPunct/>
        <w:topLinePunct w:val="0"/>
        <w:autoSpaceDE/>
        <w:autoSpaceDN/>
        <w:bidi w:val="0"/>
        <w:spacing w:line="56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 安抚学生，维持正常游学活动；</w:t>
      </w:r>
    </w:p>
    <w:p w14:paraId="547A7190">
      <w:pPr>
        <w:keepNext w:val="0"/>
        <w:keepLines w:val="0"/>
        <w:pageBreakBefore w:val="0"/>
        <w:kinsoku/>
        <w:wordWrap/>
        <w:overflowPunct/>
        <w:topLinePunct w:val="0"/>
        <w:autoSpaceDE/>
        <w:autoSpaceDN/>
        <w:bidi w:val="0"/>
        <w:spacing w:line="56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 迅速落实医院、车辆及有关人员。</w:t>
      </w:r>
    </w:p>
    <w:p w14:paraId="17818F90">
      <w:pPr>
        <w:keepNext w:val="0"/>
        <w:keepLines w:val="0"/>
        <w:pageBreakBefore w:val="0"/>
        <w:kinsoku/>
        <w:wordWrap/>
        <w:overflowPunct/>
        <w:topLinePunct w:val="0"/>
        <w:autoSpaceDE/>
        <w:autoSpaceDN/>
        <w:bidi w:val="0"/>
        <w:spacing w:line="56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3、通讯要求：</w:t>
      </w:r>
      <w:r>
        <w:rPr>
          <w:rFonts w:hint="eastAsia" w:ascii="仿宋" w:hAnsi="仿宋" w:eastAsia="仿宋" w:cs="仿宋"/>
          <w:sz w:val="28"/>
          <w:szCs w:val="28"/>
          <w:lang w:eastAsia="zh-CN"/>
        </w:rPr>
        <w:t>研修</w:t>
      </w:r>
      <w:r>
        <w:rPr>
          <w:rFonts w:hint="eastAsia" w:ascii="仿宋" w:hAnsi="仿宋" w:eastAsia="仿宋" w:cs="仿宋"/>
          <w:sz w:val="28"/>
          <w:szCs w:val="28"/>
        </w:rPr>
        <w:t>活动期间，所有安全领导小组成员及</w:t>
      </w:r>
      <w:r>
        <w:rPr>
          <w:rFonts w:hint="eastAsia" w:ascii="仿宋" w:hAnsi="仿宋" w:eastAsia="仿宋" w:cs="仿宋"/>
          <w:sz w:val="28"/>
          <w:szCs w:val="28"/>
          <w:lang w:eastAsia="zh-CN"/>
        </w:rPr>
        <w:t>研修</w:t>
      </w:r>
      <w:r>
        <w:rPr>
          <w:rFonts w:hint="eastAsia" w:ascii="仿宋" w:hAnsi="仿宋" w:eastAsia="仿宋" w:cs="仿宋"/>
          <w:sz w:val="28"/>
          <w:szCs w:val="28"/>
        </w:rPr>
        <w:t>辅导员必须保持通信畅通，手机应做到24小时开机。</w:t>
      </w:r>
    </w:p>
    <w:p w14:paraId="3957A8F1">
      <w:pPr>
        <w:keepNext w:val="0"/>
        <w:keepLines w:val="0"/>
        <w:pageBreakBefore w:val="0"/>
        <w:kinsoku/>
        <w:wordWrap/>
        <w:overflowPunct/>
        <w:topLinePunct w:val="0"/>
        <w:autoSpaceDE/>
        <w:autoSpaceDN/>
        <w:bidi w:val="0"/>
        <w:spacing w:line="560" w:lineRule="exact"/>
        <w:rPr>
          <w:rFonts w:hint="eastAsia" w:ascii="仿宋" w:hAnsi="仿宋" w:eastAsia="仿宋" w:cs="仿宋"/>
          <w:b/>
          <w:bCs/>
          <w:sz w:val="28"/>
          <w:szCs w:val="28"/>
        </w:rPr>
      </w:pPr>
      <w:r>
        <w:rPr>
          <w:rFonts w:hint="eastAsia" w:ascii="仿宋" w:hAnsi="仿宋" w:eastAsia="仿宋" w:cs="仿宋"/>
          <w:b/>
          <w:bCs/>
          <w:sz w:val="28"/>
          <w:szCs w:val="28"/>
        </w:rPr>
        <w:t>其他</w:t>
      </w:r>
    </w:p>
    <w:p w14:paraId="1108C765">
      <w:pPr>
        <w:keepNext w:val="0"/>
        <w:keepLines w:val="0"/>
        <w:pageBreakBefore w:val="0"/>
        <w:kinsoku/>
        <w:wordWrap/>
        <w:overflowPunct/>
        <w:topLinePunct w:val="0"/>
        <w:autoSpaceDE/>
        <w:autoSpaceDN/>
        <w:bidi w:val="0"/>
        <w:spacing w:line="56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参加</w:t>
      </w:r>
      <w:r>
        <w:rPr>
          <w:rFonts w:hint="eastAsia" w:ascii="仿宋" w:hAnsi="仿宋" w:eastAsia="仿宋" w:cs="仿宋"/>
          <w:sz w:val="28"/>
          <w:szCs w:val="28"/>
          <w:lang w:eastAsia="zh-CN"/>
        </w:rPr>
        <w:t>研修</w:t>
      </w:r>
      <w:r>
        <w:rPr>
          <w:rFonts w:hint="eastAsia" w:ascii="仿宋" w:hAnsi="仿宋" w:eastAsia="仿宋" w:cs="仿宋"/>
          <w:sz w:val="28"/>
          <w:szCs w:val="28"/>
        </w:rPr>
        <w:t>课程学习活动的所有教师和</w:t>
      </w:r>
      <w:r>
        <w:rPr>
          <w:rFonts w:hint="eastAsia" w:ascii="仿宋" w:hAnsi="仿宋" w:eastAsia="仿宋" w:cs="仿宋"/>
          <w:sz w:val="28"/>
          <w:szCs w:val="28"/>
          <w:lang w:eastAsia="zh-CN"/>
        </w:rPr>
        <w:t>研修</w:t>
      </w:r>
      <w:r>
        <w:rPr>
          <w:rFonts w:hint="eastAsia" w:ascii="仿宋" w:hAnsi="仿宋" w:eastAsia="仿宋" w:cs="仿宋"/>
          <w:sz w:val="28"/>
          <w:szCs w:val="28"/>
        </w:rPr>
        <w:t>辅导员均有权、有义务立即报告住宿安全事故的发生情况。</w:t>
      </w:r>
    </w:p>
    <w:p w14:paraId="21B4FAF0">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b/>
          <w:sz w:val="28"/>
          <w:szCs w:val="28"/>
          <w:shd w:val="clear" w:color="auto" w:fill="FFFFFF"/>
        </w:rPr>
      </w:pPr>
    </w:p>
    <w:p w14:paraId="14D22963">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b/>
          <w:sz w:val="28"/>
          <w:szCs w:val="28"/>
          <w:shd w:val="clear" w:color="auto" w:fill="FFFFFF"/>
        </w:rPr>
      </w:pPr>
      <w:r>
        <w:rPr>
          <w:rFonts w:hint="eastAsia" w:ascii="仿宋" w:hAnsi="仿宋" w:eastAsia="仿宋" w:cs="仿宋"/>
          <w:b/>
          <w:sz w:val="28"/>
          <w:szCs w:val="28"/>
          <w:shd w:val="clear" w:color="auto" w:fill="FFFFFF"/>
          <w:lang w:val="en-US" w:eastAsia="zh-CN"/>
        </w:rPr>
        <w:t>4-</w:t>
      </w:r>
      <w:r>
        <w:rPr>
          <w:rFonts w:hint="eastAsia" w:ascii="仿宋" w:hAnsi="仿宋" w:eastAsia="仿宋" w:cs="仿宋"/>
          <w:b/>
          <w:sz w:val="28"/>
          <w:szCs w:val="28"/>
          <w:shd w:val="clear" w:color="auto" w:fill="FFFFFF"/>
        </w:rPr>
        <w:t>突发人身意外伤害事故应急预案</w:t>
      </w:r>
      <w:bookmarkEnd w:id="3"/>
    </w:p>
    <w:p w14:paraId="08DD3388">
      <w:pPr>
        <w:keepNext w:val="0"/>
        <w:keepLines w:val="0"/>
        <w:pageBreakBefore w:val="0"/>
        <w:kinsoku/>
        <w:wordWrap/>
        <w:overflowPunct/>
        <w:topLinePunct w:val="0"/>
        <w:autoSpaceDE/>
        <w:autoSpaceDN/>
        <w:bidi w:val="0"/>
        <w:spacing w:line="560" w:lineRule="exact"/>
        <w:rPr>
          <w:rFonts w:hint="eastAsia" w:ascii="仿宋" w:hAnsi="仿宋" w:eastAsia="仿宋" w:cs="仿宋"/>
          <w:color w:val="000000"/>
          <w:sz w:val="28"/>
          <w:szCs w:val="28"/>
          <w:shd w:val="clear" w:color="auto" w:fill="FFFFFF"/>
        </w:rPr>
      </w:pPr>
      <w:r>
        <w:rPr>
          <w:rFonts w:hint="eastAsia" w:ascii="仿宋" w:hAnsi="仿宋" w:eastAsia="仿宋" w:cs="仿宋"/>
          <w:b/>
          <w:bCs/>
          <w:color w:val="000000"/>
          <w:sz w:val="28"/>
          <w:szCs w:val="28"/>
          <w:shd w:val="clear" w:color="auto" w:fill="FFFFFF"/>
        </w:rPr>
        <w:t>制定说明</w:t>
      </w:r>
      <w:r>
        <w:rPr>
          <w:rFonts w:hint="eastAsia" w:ascii="仿宋" w:hAnsi="仿宋" w:eastAsia="仿宋" w:cs="仿宋"/>
          <w:color w:val="000000"/>
          <w:sz w:val="28"/>
          <w:szCs w:val="28"/>
          <w:shd w:val="clear" w:color="auto" w:fill="FFFFFF"/>
        </w:rPr>
        <w:t xml:space="preserve"> </w:t>
      </w:r>
    </w:p>
    <w:p w14:paraId="6C4EB37D">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为确保师生在</w:t>
      </w:r>
      <w:r>
        <w:rPr>
          <w:rFonts w:hint="eastAsia" w:ascii="仿宋" w:hAnsi="仿宋" w:eastAsia="仿宋" w:cs="仿宋"/>
          <w:sz w:val="28"/>
          <w:szCs w:val="28"/>
          <w:shd w:val="clear" w:color="auto" w:fill="FFFFFF"/>
          <w:lang w:eastAsia="zh-CN"/>
        </w:rPr>
        <w:t>外出研修活动</w:t>
      </w:r>
      <w:r>
        <w:rPr>
          <w:rFonts w:hint="eastAsia" w:ascii="仿宋" w:hAnsi="仿宋" w:eastAsia="仿宋" w:cs="仿宋"/>
          <w:sz w:val="28"/>
          <w:szCs w:val="28"/>
          <w:shd w:val="clear" w:color="auto" w:fill="FFFFFF"/>
        </w:rPr>
        <w:t>期间的人身安全，预防在</w:t>
      </w:r>
      <w:r>
        <w:rPr>
          <w:rFonts w:hint="eastAsia" w:ascii="仿宋" w:hAnsi="仿宋" w:eastAsia="仿宋" w:cs="仿宋"/>
          <w:sz w:val="28"/>
          <w:szCs w:val="28"/>
          <w:shd w:val="clear" w:color="auto" w:fill="FFFFFF"/>
          <w:lang w:eastAsia="zh-CN"/>
        </w:rPr>
        <w:t>外出研修活动</w:t>
      </w:r>
      <w:r>
        <w:rPr>
          <w:rFonts w:hint="eastAsia" w:ascii="仿宋" w:hAnsi="仿宋" w:eastAsia="仿宋" w:cs="仿宋"/>
          <w:sz w:val="28"/>
          <w:szCs w:val="28"/>
          <w:shd w:val="clear" w:color="auto" w:fill="FFFFFF"/>
        </w:rPr>
        <w:t>期间可能发生的突发人身意外伤害事故，确保在第一时间内做好抢救和消除隐患工作，确保学生安全，在</w:t>
      </w:r>
      <w:r>
        <w:rPr>
          <w:rFonts w:hint="eastAsia" w:ascii="仿宋" w:hAnsi="仿宋" w:eastAsia="仿宋" w:cs="仿宋"/>
          <w:sz w:val="28"/>
          <w:szCs w:val="28"/>
          <w:shd w:val="clear" w:color="auto" w:fill="FFFFFF"/>
          <w:lang w:eastAsia="zh-CN"/>
        </w:rPr>
        <w:t>外出研修活动</w:t>
      </w:r>
      <w:r>
        <w:rPr>
          <w:rFonts w:hint="eastAsia" w:ascii="仿宋" w:hAnsi="仿宋" w:eastAsia="仿宋" w:cs="仿宋"/>
          <w:sz w:val="28"/>
          <w:szCs w:val="28"/>
          <w:shd w:val="clear" w:color="auto" w:fill="FFFFFF"/>
          <w:lang w:val="en-US" w:eastAsia="zh-CN"/>
        </w:rPr>
        <w:t>安排</w:t>
      </w:r>
      <w:r>
        <w:rPr>
          <w:rFonts w:hint="eastAsia" w:ascii="仿宋" w:hAnsi="仿宋" w:eastAsia="仿宋" w:cs="仿宋"/>
          <w:sz w:val="28"/>
          <w:szCs w:val="28"/>
          <w:shd w:val="clear" w:color="auto" w:fill="FFFFFF"/>
        </w:rPr>
        <w:t>的基础上特制定本预案，以便及时、正确、高效地处置可能发生的突发人身意外伤害事件，把突发人生意外伤害事件造成的损害降低到最低程度。</w:t>
      </w:r>
    </w:p>
    <w:p w14:paraId="414EA47A">
      <w:pPr>
        <w:keepNext w:val="0"/>
        <w:keepLines w:val="0"/>
        <w:pageBreakBefore w:val="0"/>
        <w:kinsoku/>
        <w:wordWrap/>
        <w:overflowPunct/>
        <w:topLinePunct w:val="0"/>
        <w:autoSpaceDE/>
        <w:autoSpaceDN/>
        <w:bidi w:val="0"/>
        <w:spacing w:line="560" w:lineRule="exact"/>
        <w:rPr>
          <w:rFonts w:hint="eastAsia"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制定目标</w:t>
      </w:r>
    </w:p>
    <w:p w14:paraId="2569D3B3">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指导参加</w:t>
      </w:r>
      <w:r>
        <w:rPr>
          <w:rFonts w:hint="eastAsia" w:ascii="仿宋" w:hAnsi="仿宋" w:eastAsia="仿宋" w:cs="仿宋"/>
          <w:sz w:val="28"/>
          <w:szCs w:val="28"/>
          <w:shd w:val="clear" w:color="auto" w:fill="FFFFFF"/>
          <w:lang w:eastAsia="zh-CN"/>
        </w:rPr>
        <w:t>外出研修活动</w:t>
      </w:r>
      <w:r>
        <w:rPr>
          <w:rFonts w:hint="eastAsia" w:ascii="仿宋" w:hAnsi="仿宋" w:eastAsia="仿宋" w:cs="仿宋"/>
          <w:sz w:val="28"/>
          <w:szCs w:val="28"/>
          <w:shd w:val="clear" w:color="auto" w:fill="FFFFFF"/>
        </w:rPr>
        <w:t>课程的老师做好出现突发人身意外伤害事故的应急处理，建立有效措施和机制，积极预防和处理</w:t>
      </w:r>
      <w:r>
        <w:rPr>
          <w:rFonts w:hint="eastAsia" w:ascii="仿宋" w:hAnsi="仿宋" w:eastAsia="仿宋" w:cs="仿宋"/>
          <w:sz w:val="28"/>
          <w:szCs w:val="28"/>
          <w:shd w:val="clear" w:color="auto" w:fill="FFFFFF"/>
          <w:lang w:eastAsia="zh-CN"/>
        </w:rPr>
        <w:t>外出研修活动</w:t>
      </w:r>
      <w:r>
        <w:rPr>
          <w:rFonts w:hint="eastAsia" w:ascii="仿宋" w:hAnsi="仿宋" w:eastAsia="仿宋" w:cs="仿宋"/>
          <w:sz w:val="28"/>
          <w:szCs w:val="28"/>
          <w:shd w:val="clear" w:color="auto" w:fill="FFFFFF"/>
        </w:rPr>
        <w:t>期间人身意外伤害事故的发生，教育全体参加</w:t>
      </w:r>
      <w:r>
        <w:rPr>
          <w:rFonts w:hint="eastAsia" w:ascii="仿宋" w:hAnsi="仿宋" w:eastAsia="仿宋" w:cs="仿宋"/>
          <w:sz w:val="28"/>
          <w:szCs w:val="28"/>
          <w:shd w:val="clear" w:color="auto" w:fill="FFFFFF"/>
          <w:lang w:eastAsia="zh-CN"/>
        </w:rPr>
        <w:t>外出研修活动</w:t>
      </w:r>
      <w:r>
        <w:rPr>
          <w:rFonts w:hint="eastAsia" w:ascii="仿宋" w:hAnsi="仿宋" w:eastAsia="仿宋" w:cs="仿宋"/>
          <w:sz w:val="28"/>
          <w:szCs w:val="28"/>
          <w:shd w:val="clear" w:color="auto" w:fill="FFFFFF"/>
        </w:rPr>
        <w:t>课程的学生了解和掌握突发人生意外伤害事故发生后的处理程序和办法，采取有效的预防措施，控制事情的进一步恶化，最大限度的减少损失，保持正常的教育教学秩序；依据本规定建立严格的安全工作负责制度并严格执行，保证将突发人身意外伤害事故发生的可能性降到最小值。</w:t>
      </w:r>
    </w:p>
    <w:p w14:paraId="08A9776E">
      <w:pPr>
        <w:keepNext w:val="0"/>
        <w:keepLines w:val="0"/>
        <w:pageBreakBefore w:val="0"/>
        <w:kinsoku/>
        <w:wordWrap/>
        <w:overflowPunct/>
        <w:topLinePunct w:val="0"/>
        <w:autoSpaceDE/>
        <w:autoSpaceDN/>
        <w:bidi w:val="0"/>
        <w:spacing w:line="560" w:lineRule="exact"/>
        <w:rPr>
          <w:rFonts w:hint="eastAsia"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适用条件</w:t>
      </w:r>
    </w:p>
    <w:p w14:paraId="4345C9F3">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在</w:t>
      </w:r>
      <w:r>
        <w:rPr>
          <w:rFonts w:hint="eastAsia" w:ascii="仿宋" w:hAnsi="仿宋" w:eastAsia="仿宋" w:cs="仿宋"/>
          <w:sz w:val="28"/>
          <w:szCs w:val="28"/>
          <w:shd w:val="clear" w:color="auto" w:fill="FFFFFF"/>
          <w:lang w:eastAsia="zh-CN"/>
        </w:rPr>
        <w:t>外出研修活动</w:t>
      </w:r>
      <w:r>
        <w:rPr>
          <w:rFonts w:hint="eastAsia" w:ascii="仿宋" w:hAnsi="仿宋" w:eastAsia="仿宋" w:cs="仿宋"/>
          <w:sz w:val="28"/>
          <w:szCs w:val="28"/>
          <w:shd w:val="clear" w:color="auto" w:fill="FFFFFF"/>
        </w:rPr>
        <w:t>课程实施过程中一旦出现突发人身意外伤害事故，立即启动本预案采取有效的预防措施迅速控制情况，最大限度的减少损失，稳定家长情绪，保持正常的</w:t>
      </w:r>
      <w:r>
        <w:rPr>
          <w:rFonts w:hint="eastAsia" w:ascii="仿宋" w:hAnsi="仿宋" w:eastAsia="仿宋" w:cs="仿宋"/>
          <w:sz w:val="28"/>
          <w:szCs w:val="28"/>
          <w:shd w:val="clear" w:color="auto" w:fill="FFFFFF"/>
          <w:lang w:eastAsia="zh-CN"/>
        </w:rPr>
        <w:t>外出研修活动</w:t>
      </w:r>
      <w:r>
        <w:rPr>
          <w:rFonts w:hint="eastAsia" w:ascii="仿宋" w:hAnsi="仿宋" w:eastAsia="仿宋" w:cs="仿宋"/>
          <w:sz w:val="28"/>
          <w:szCs w:val="28"/>
          <w:shd w:val="clear" w:color="auto" w:fill="FFFFFF"/>
        </w:rPr>
        <w:t>秩序。</w:t>
      </w:r>
    </w:p>
    <w:p w14:paraId="1EFA7E19">
      <w:pPr>
        <w:keepNext w:val="0"/>
        <w:keepLines w:val="0"/>
        <w:pageBreakBefore w:val="0"/>
        <w:kinsoku/>
        <w:wordWrap/>
        <w:overflowPunct/>
        <w:topLinePunct w:val="0"/>
        <w:autoSpaceDE/>
        <w:autoSpaceDN/>
        <w:bidi w:val="0"/>
        <w:spacing w:line="560" w:lineRule="exact"/>
        <w:rPr>
          <w:rFonts w:hint="eastAsia"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组织管理</w:t>
      </w:r>
    </w:p>
    <w:p w14:paraId="7D7E18F9">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一旦发生突发人身意外伤害事故，在校方领导人员的统一指挥调度下，立即展开</w:t>
      </w:r>
      <w:r>
        <w:rPr>
          <w:rFonts w:hint="eastAsia" w:ascii="仿宋" w:hAnsi="仿宋" w:eastAsia="仿宋" w:cs="仿宋"/>
          <w:sz w:val="28"/>
          <w:szCs w:val="28"/>
          <w:shd w:val="clear" w:color="auto" w:fill="FFFFFF"/>
          <w:lang w:eastAsia="zh-CN"/>
        </w:rPr>
        <w:t>外出研修活动</w:t>
      </w:r>
      <w:r>
        <w:rPr>
          <w:rFonts w:hint="eastAsia" w:ascii="仿宋" w:hAnsi="仿宋" w:eastAsia="仿宋" w:cs="仿宋"/>
          <w:sz w:val="28"/>
          <w:szCs w:val="28"/>
          <w:shd w:val="clear" w:color="auto" w:fill="FFFFFF"/>
        </w:rPr>
        <w:t>安全控制和医疗救援等应急处理工作，组织对安全事故的调查、应急处理和医疗救治工作以及协调有关部门开展工作；对事件进行资料归类、留档、评价，并总结经验和教训。</w:t>
      </w:r>
    </w:p>
    <w:p w14:paraId="764FA2DD">
      <w:pPr>
        <w:keepNext w:val="0"/>
        <w:keepLines w:val="0"/>
        <w:pageBreakBefore w:val="0"/>
        <w:kinsoku/>
        <w:wordWrap/>
        <w:overflowPunct/>
        <w:topLinePunct w:val="0"/>
        <w:autoSpaceDE/>
        <w:autoSpaceDN/>
        <w:bidi w:val="0"/>
        <w:spacing w:line="560" w:lineRule="exact"/>
        <w:rPr>
          <w:rFonts w:hint="eastAsia"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处理原则及流程</w:t>
      </w:r>
    </w:p>
    <w:p w14:paraId="1C09925F">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1、事故一旦发生，须在第一时间内向相关部门报警、紧急救援。对人身意外伤害者实施最快的抢救措施。请医疗、消防、公安等部门帮助，抢救生命，实施救助。</w:t>
      </w:r>
    </w:p>
    <w:p w14:paraId="37E99D80">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2、人身意外事故突发后，全体教师和所有</w:t>
      </w:r>
      <w:r>
        <w:rPr>
          <w:rFonts w:hint="eastAsia" w:ascii="仿宋" w:hAnsi="仿宋" w:eastAsia="仿宋" w:cs="仿宋"/>
          <w:sz w:val="28"/>
          <w:szCs w:val="28"/>
          <w:shd w:val="clear" w:color="auto" w:fill="FFFFFF"/>
          <w:lang w:eastAsia="zh-CN"/>
        </w:rPr>
        <w:t>外出研修活动</w:t>
      </w:r>
      <w:r>
        <w:rPr>
          <w:rFonts w:hint="eastAsia" w:ascii="仿宋" w:hAnsi="仿宋" w:eastAsia="仿宋" w:cs="仿宋"/>
          <w:sz w:val="28"/>
          <w:szCs w:val="28"/>
          <w:shd w:val="clear" w:color="auto" w:fill="FFFFFF"/>
        </w:rPr>
        <w:t>辅导员应坚守岗位，各司其职，随时听从现场负责人调遣，现场的每一位</w:t>
      </w:r>
      <w:r>
        <w:rPr>
          <w:rFonts w:hint="eastAsia" w:ascii="仿宋" w:hAnsi="仿宋" w:eastAsia="仿宋" w:cs="仿宋"/>
          <w:sz w:val="28"/>
          <w:szCs w:val="28"/>
          <w:shd w:val="clear" w:color="auto" w:fill="FFFFFF"/>
          <w:lang w:eastAsia="zh-CN"/>
        </w:rPr>
        <w:t>外出研修活动</w:t>
      </w:r>
      <w:r>
        <w:rPr>
          <w:rFonts w:hint="eastAsia" w:ascii="仿宋" w:hAnsi="仿宋" w:eastAsia="仿宋" w:cs="仿宋"/>
          <w:sz w:val="28"/>
          <w:szCs w:val="28"/>
          <w:shd w:val="clear" w:color="auto" w:fill="FFFFFF"/>
        </w:rPr>
        <w:t>辅导员必须遵守“学生优先，伤员优先”的原则，抢救和安抚处理工作。</w:t>
      </w:r>
    </w:p>
    <w:p w14:paraId="3F3A45A0">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3、及时抢救。保持镇静，沉着应付。事故现场的负责人或组织者必须立即组织教职员工和所有服务人员开展抢救工作。同时应根据事故的性质不同，采取医务人员就地抢救或报</w:t>
      </w:r>
      <w:r>
        <w:rPr>
          <w:rFonts w:hint="eastAsia" w:ascii="仿宋" w:hAnsi="仿宋" w:eastAsia="仿宋" w:cs="仿宋"/>
          <w:sz w:val="28"/>
          <w:szCs w:val="28"/>
          <w:shd w:val="clear" w:color="auto" w:fill="FFFFFF"/>
          <w:lang w:eastAsia="zh-CN"/>
        </w:rPr>
        <w:t>140</w:t>
      </w:r>
      <w:r>
        <w:rPr>
          <w:rFonts w:hint="eastAsia" w:ascii="仿宋" w:hAnsi="仿宋" w:eastAsia="仿宋" w:cs="仿宋"/>
          <w:sz w:val="28"/>
          <w:szCs w:val="28"/>
          <w:shd w:val="clear" w:color="auto" w:fill="FFFFFF"/>
        </w:rPr>
        <w:t>送医院求治。</w:t>
      </w:r>
    </w:p>
    <w:p w14:paraId="01527A44">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4、组织疏散。当事故突然发生后，每位教师特别是</w:t>
      </w:r>
      <w:r>
        <w:rPr>
          <w:rFonts w:hint="eastAsia" w:ascii="仿宋" w:hAnsi="仿宋" w:eastAsia="仿宋" w:cs="仿宋"/>
          <w:sz w:val="28"/>
          <w:szCs w:val="28"/>
          <w:shd w:val="clear" w:color="auto" w:fill="FFFFFF"/>
          <w:lang w:eastAsia="zh-CN"/>
        </w:rPr>
        <w:t>外出研修活动</w:t>
      </w:r>
      <w:r>
        <w:rPr>
          <w:rFonts w:hint="eastAsia" w:ascii="仿宋" w:hAnsi="仿宋" w:eastAsia="仿宋" w:cs="仿宋"/>
          <w:sz w:val="28"/>
          <w:szCs w:val="28"/>
          <w:shd w:val="clear" w:color="auto" w:fill="FFFFFF"/>
        </w:rPr>
        <w:t>辅导员应迅速帮助学生撤离危险区域。清点人数。撤离到安全区域后，带队负责人应立即清点人数。</w:t>
      </w:r>
    </w:p>
    <w:p w14:paraId="4D486ED5">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5、及时报告。报警、向校方迅速报告。报告事故发生地点、时间、伤亡人数、伤害程度、目前所在位置、安全程度等。</w:t>
      </w:r>
    </w:p>
    <w:p w14:paraId="390D2D7F">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6、尽快地与公安、消防、医院等机构取得联系，落实救护和处理工作。指定专人负责保护现场，为处理事故提供证据。</w:t>
      </w:r>
    </w:p>
    <w:p w14:paraId="762247CD">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7、做好广大师生的思想工作，消除因事故导致的不安全因素，尽快恢复</w:t>
      </w:r>
      <w:r>
        <w:rPr>
          <w:rFonts w:hint="eastAsia" w:ascii="仿宋" w:hAnsi="仿宋" w:eastAsia="仿宋" w:cs="仿宋"/>
          <w:sz w:val="28"/>
          <w:szCs w:val="28"/>
          <w:shd w:val="clear" w:color="auto" w:fill="FFFFFF"/>
          <w:lang w:eastAsia="zh-CN"/>
        </w:rPr>
        <w:t>外出研修活动</w:t>
      </w:r>
      <w:r>
        <w:rPr>
          <w:rFonts w:hint="eastAsia" w:ascii="仿宋" w:hAnsi="仿宋" w:eastAsia="仿宋" w:cs="仿宋"/>
          <w:sz w:val="28"/>
          <w:szCs w:val="28"/>
          <w:shd w:val="clear" w:color="auto" w:fill="FFFFFF"/>
        </w:rPr>
        <w:t>的教学秩序。不要因事故本身引发其他不应有的事端。</w:t>
      </w:r>
    </w:p>
    <w:p w14:paraId="629F746C">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b/>
          <w:bCs/>
          <w:sz w:val="28"/>
          <w:szCs w:val="28"/>
          <w:shd w:val="clear" w:color="auto" w:fill="FFFFFF"/>
        </w:rPr>
      </w:pPr>
      <w:r>
        <w:rPr>
          <w:rFonts w:hint="eastAsia" w:ascii="仿宋" w:hAnsi="仿宋" w:eastAsia="仿宋" w:cs="仿宋"/>
          <w:sz w:val="28"/>
          <w:szCs w:val="28"/>
          <w:shd w:val="clear" w:color="auto" w:fill="FFFFFF"/>
        </w:rPr>
        <w:t>8、要特别注意做好受伤学生及受惊吓学生的心理咨询和心理调节工作，逐步消解他们的恐惧心理和其他不良心理反应。</w:t>
      </w:r>
    </w:p>
    <w:p w14:paraId="7796C532">
      <w:pPr>
        <w:keepNext w:val="0"/>
        <w:keepLines w:val="0"/>
        <w:pageBreakBefore w:val="0"/>
        <w:kinsoku/>
        <w:wordWrap/>
        <w:overflowPunct/>
        <w:topLinePunct w:val="0"/>
        <w:autoSpaceDE/>
        <w:autoSpaceDN/>
        <w:bidi w:val="0"/>
        <w:spacing w:line="560" w:lineRule="exact"/>
        <w:rPr>
          <w:rFonts w:hint="eastAsia"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工作组人员职责</w:t>
      </w:r>
    </w:p>
    <w:p w14:paraId="77EFF7C7">
      <w:pPr>
        <w:keepNext w:val="0"/>
        <w:keepLines w:val="0"/>
        <w:pageBreakBefore w:val="0"/>
        <w:numPr>
          <w:ilvl w:val="0"/>
          <w:numId w:val="21"/>
        </w:numPr>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活动期间教师和</w:t>
      </w:r>
      <w:r>
        <w:rPr>
          <w:rFonts w:hint="eastAsia" w:ascii="仿宋" w:hAnsi="仿宋" w:eastAsia="仿宋" w:cs="仿宋"/>
          <w:sz w:val="28"/>
          <w:szCs w:val="28"/>
          <w:shd w:val="clear" w:color="auto" w:fill="FFFFFF"/>
          <w:lang w:eastAsia="zh-CN"/>
        </w:rPr>
        <w:t>外出研修活动</w:t>
      </w:r>
      <w:r>
        <w:rPr>
          <w:rFonts w:hint="eastAsia" w:ascii="仿宋" w:hAnsi="仿宋" w:eastAsia="仿宋" w:cs="仿宋"/>
          <w:sz w:val="28"/>
          <w:szCs w:val="28"/>
          <w:shd w:val="clear" w:color="auto" w:fill="FFFFFF"/>
        </w:rPr>
        <w:t>辅导员不得离开</w:t>
      </w:r>
      <w:r>
        <w:rPr>
          <w:rFonts w:hint="eastAsia" w:ascii="仿宋" w:hAnsi="仿宋" w:eastAsia="仿宋" w:cs="仿宋"/>
          <w:sz w:val="28"/>
          <w:szCs w:val="28"/>
          <w:shd w:val="clear" w:color="auto" w:fill="FFFFFF"/>
          <w:lang w:val="en-US" w:eastAsia="zh-CN"/>
        </w:rPr>
        <w:t>师生</w:t>
      </w:r>
      <w:r>
        <w:rPr>
          <w:rFonts w:hint="eastAsia" w:ascii="仿宋" w:hAnsi="仿宋" w:eastAsia="仿宋" w:cs="仿宋"/>
          <w:sz w:val="28"/>
          <w:szCs w:val="28"/>
          <w:shd w:val="clear" w:color="auto" w:fill="FFFFFF"/>
        </w:rPr>
        <w:t>，要随时掌握本组</w:t>
      </w:r>
      <w:r>
        <w:rPr>
          <w:rFonts w:hint="eastAsia" w:ascii="仿宋" w:hAnsi="仿宋" w:eastAsia="仿宋" w:cs="仿宋"/>
          <w:sz w:val="28"/>
          <w:szCs w:val="28"/>
          <w:shd w:val="clear" w:color="auto" w:fill="FFFFFF"/>
          <w:lang w:val="en-US" w:eastAsia="zh-CN"/>
        </w:rPr>
        <w:t>师生</w:t>
      </w:r>
      <w:r>
        <w:rPr>
          <w:rFonts w:hint="eastAsia" w:ascii="仿宋" w:hAnsi="仿宋" w:eastAsia="仿宋" w:cs="仿宋"/>
          <w:sz w:val="28"/>
          <w:szCs w:val="28"/>
          <w:shd w:val="clear" w:color="auto" w:fill="FFFFFF"/>
        </w:rPr>
        <w:t>情况，遇到意外伤害事故及时做好本组</w:t>
      </w:r>
      <w:r>
        <w:rPr>
          <w:rFonts w:hint="eastAsia" w:ascii="仿宋" w:hAnsi="仿宋" w:eastAsia="仿宋" w:cs="仿宋"/>
          <w:sz w:val="28"/>
          <w:szCs w:val="28"/>
          <w:shd w:val="clear" w:color="auto" w:fill="FFFFFF"/>
          <w:lang w:val="en-US" w:eastAsia="zh-CN"/>
        </w:rPr>
        <w:t>师生</w:t>
      </w:r>
      <w:r>
        <w:rPr>
          <w:rFonts w:hint="eastAsia" w:ascii="仿宋" w:hAnsi="仿宋" w:eastAsia="仿宋" w:cs="仿宋"/>
          <w:sz w:val="28"/>
          <w:szCs w:val="28"/>
          <w:shd w:val="clear" w:color="auto" w:fill="FFFFFF"/>
        </w:rPr>
        <w:t>的疏散和控制。</w:t>
      </w:r>
    </w:p>
    <w:p w14:paraId="6CA86BE8">
      <w:pPr>
        <w:keepNext w:val="0"/>
        <w:keepLines w:val="0"/>
        <w:pageBreakBefore w:val="0"/>
        <w:numPr>
          <w:ilvl w:val="0"/>
          <w:numId w:val="21"/>
        </w:numPr>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活动负责人要及时做好整个活动的调度和控制，稳定好全体师生的秩序。老师和</w:t>
      </w:r>
      <w:r>
        <w:rPr>
          <w:rFonts w:hint="eastAsia" w:ascii="仿宋" w:hAnsi="仿宋" w:eastAsia="仿宋" w:cs="仿宋"/>
          <w:sz w:val="28"/>
          <w:szCs w:val="28"/>
          <w:shd w:val="clear" w:color="auto" w:fill="FFFFFF"/>
          <w:lang w:eastAsia="zh-CN"/>
        </w:rPr>
        <w:t>外出研修活动</w:t>
      </w:r>
      <w:r>
        <w:rPr>
          <w:rFonts w:hint="eastAsia" w:ascii="仿宋" w:hAnsi="仿宋" w:eastAsia="仿宋" w:cs="仿宋"/>
          <w:sz w:val="28"/>
          <w:szCs w:val="28"/>
          <w:shd w:val="clear" w:color="auto" w:fill="FFFFFF"/>
        </w:rPr>
        <w:t>辅导员不得擅自脱离岗位。发生事故时各就各位，负责安全事故的组织工作，避免发生拥挤踩踏事故。</w:t>
      </w:r>
    </w:p>
    <w:p w14:paraId="71E9849E">
      <w:pPr>
        <w:keepNext w:val="0"/>
        <w:keepLines w:val="0"/>
        <w:pageBreakBefore w:val="0"/>
        <w:numPr>
          <w:ilvl w:val="0"/>
          <w:numId w:val="21"/>
        </w:numPr>
        <w:kinsoku/>
        <w:wordWrap/>
        <w:overflowPunct/>
        <w:topLinePunct w:val="0"/>
        <w:autoSpaceDE/>
        <w:autoSpaceDN/>
        <w:bidi w:val="0"/>
        <w:spacing w:line="56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迅速组织</w:t>
      </w:r>
      <w:r>
        <w:rPr>
          <w:rFonts w:hint="eastAsia" w:ascii="仿宋" w:hAnsi="仿宋" w:eastAsia="仿宋" w:cs="仿宋"/>
          <w:sz w:val="28"/>
          <w:szCs w:val="28"/>
          <w:shd w:val="clear" w:color="auto" w:fill="FFFFFF"/>
          <w:lang w:val="en-US" w:eastAsia="zh-CN"/>
        </w:rPr>
        <w:t>师生</w:t>
      </w:r>
      <w:r>
        <w:rPr>
          <w:rFonts w:hint="eastAsia" w:ascii="仿宋" w:hAnsi="仿宋" w:eastAsia="仿宋" w:cs="仿宋"/>
          <w:sz w:val="28"/>
          <w:szCs w:val="28"/>
          <w:shd w:val="clear" w:color="auto" w:fill="FFFFFF"/>
        </w:rPr>
        <w:t>撤离现场，转移到安全地带</w:t>
      </w:r>
      <w:r>
        <w:rPr>
          <w:rFonts w:hint="eastAsia" w:ascii="仿宋" w:hAnsi="仿宋" w:eastAsia="仿宋" w:cs="仿宋"/>
          <w:sz w:val="28"/>
          <w:szCs w:val="28"/>
          <w:shd w:val="clear" w:color="auto" w:fill="FFFFFF"/>
          <w:lang w:eastAsia="zh-CN"/>
        </w:rPr>
        <w:t>。</w:t>
      </w:r>
    </w:p>
    <w:p w14:paraId="6D56E072">
      <w:pPr>
        <w:keepNext w:val="0"/>
        <w:keepLines w:val="0"/>
        <w:pageBreakBefore w:val="0"/>
        <w:numPr>
          <w:ilvl w:val="0"/>
          <w:numId w:val="21"/>
        </w:numPr>
        <w:kinsoku/>
        <w:wordWrap/>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shd w:val="clear" w:color="auto" w:fill="FFFFFF"/>
        </w:rPr>
        <w:t>脱离现场后，</w:t>
      </w:r>
      <w:r>
        <w:rPr>
          <w:rFonts w:hint="eastAsia" w:ascii="仿宋" w:hAnsi="仿宋" w:eastAsia="仿宋" w:cs="仿宋"/>
          <w:sz w:val="28"/>
          <w:szCs w:val="28"/>
          <w:shd w:val="clear" w:color="auto" w:fill="FFFFFF"/>
          <w:lang w:eastAsia="zh-CN"/>
        </w:rPr>
        <w:t>外出研修活动</w:t>
      </w:r>
      <w:r>
        <w:rPr>
          <w:rFonts w:hint="eastAsia" w:ascii="仿宋" w:hAnsi="仿宋" w:eastAsia="仿宋" w:cs="仿宋"/>
          <w:sz w:val="28"/>
          <w:szCs w:val="28"/>
          <w:shd w:val="clear" w:color="auto" w:fill="FFFFFF"/>
        </w:rPr>
        <w:t>辅导员要配合带队老师迅速组织好学生，整理好队伍，清点人数，不允许学生擅自离开队伍，对没有到场的，做好登记，并及时上报现场负责领导。</w:t>
      </w:r>
    </w:p>
    <w:p w14:paraId="142EB3AA">
      <w:pPr>
        <w:keepNext w:val="0"/>
        <w:keepLines w:val="0"/>
        <w:pageBreakBefore w:val="0"/>
        <w:kinsoku/>
        <w:wordWrap/>
        <w:overflowPunct/>
        <w:topLinePunct w:val="0"/>
        <w:autoSpaceDE/>
        <w:autoSpaceDN/>
        <w:bidi w:val="0"/>
        <w:spacing w:line="560" w:lineRule="exact"/>
        <w:ind w:firstLine="280" w:firstLineChars="100"/>
        <w:rPr>
          <w:rFonts w:hint="eastAsia" w:ascii="仿宋" w:hAnsi="仿宋" w:eastAsia="仿宋" w:cs="仿宋"/>
          <w:sz w:val="28"/>
          <w:szCs w:val="28"/>
        </w:rPr>
      </w:pPr>
    </w:p>
    <w:p w14:paraId="27880B27">
      <w:pPr>
        <w:keepNext w:val="0"/>
        <w:keepLines w:val="0"/>
        <w:pageBreakBefore w:val="0"/>
        <w:kinsoku/>
        <w:wordWrap/>
        <w:overflowPunct/>
        <w:topLinePunct w:val="0"/>
        <w:autoSpaceDE/>
        <w:autoSpaceDN/>
        <w:bidi w:val="0"/>
        <w:spacing w:line="560" w:lineRule="exact"/>
        <w:ind w:firstLine="0" w:firstLineChars="0"/>
        <w:jc w:val="center"/>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恶劣天气预防及应急预案</w:t>
      </w:r>
    </w:p>
    <w:p w14:paraId="07E1A4B9">
      <w:pPr>
        <w:keepNext w:val="0"/>
        <w:keepLines w:val="0"/>
        <w:pageBreakBefore w:val="0"/>
        <w:kinsoku/>
        <w:wordWrap/>
        <w:overflowPunct/>
        <w:topLinePunct w:val="0"/>
        <w:autoSpaceDE/>
        <w:autoSpaceDN/>
        <w:bidi w:val="0"/>
        <w:spacing w:line="560" w:lineRule="exact"/>
        <w:rPr>
          <w:rFonts w:hint="eastAsia" w:ascii="仿宋" w:hAnsi="仿宋" w:eastAsia="仿宋" w:cs="仿宋"/>
          <w:sz w:val="28"/>
          <w:szCs w:val="28"/>
        </w:rPr>
      </w:pPr>
      <w:r>
        <w:rPr>
          <w:rFonts w:hint="eastAsia" w:ascii="仿宋" w:hAnsi="仿宋" w:eastAsia="仿宋" w:cs="仿宋"/>
          <w:b/>
          <w:bCs/>
          <w:sz w:val="28"/>
          <w:szCs w:val="28"/>
        </w:rPr>
        <w:t>制定说明 　</w:t>
      </w:r>
      <w:r>
        <w:rPr>
          <w:rFonts w:hint="eastAsia" w:ascii="仿宋" w:hAnsi="仿宋" w:eastAsia="仿宋" w:cs="仿宋"/>
          <w:sz w:val="28"/>
          <w:szCs w:val="28"/>
        </w:rPr>
        <w:t xml:space="preserve"> </w:t>
      </w:r>
    </w:p>
    <w:p w14:paraId="7C51D7D8">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为了避免高温/雾霾/强降雨（雪）等恶劣天气对研修活动师生造成安全隐患，降低恶劣天气出现时对研修活动的影响程度，制定本预案，</w:t>
      </w:r>
      <w:r>
        <w:rPr>
          <w:rFonts w:hint="eastAsia" w:ascii="仿宋" w:hAnsi="仿宋" w:eastAsia="仿宋" w:cs="仿宋"/>
          <w:sz w:val="28"/>
          <w:szCs w:val="28"/>
        </w:rPr>
        <w:t>让</w:t>
      </w:r>
      <w:r>
        <w:rPr>
          <w:rFonts w:hint="eastAsia" w:ascii="仿宋" w:hAnsi="仿宋" w:eastAsia="仿宋" w:cs="仿宋"/>
          <w:sz w:val="28"/>
          <w:szCs w:val="28"/>
          <w:lang w:val="en-US" w:eastAsia="zh-CN"/>
        </w:rPr>
        <w:t>师生</w:t>
      </w:r>
      <w:r>
        <w:rPr>
          <w:rFonts w:hint="eastAsia" w:ascii="仿宋" w:hAnsi="仿宋" w:eastAsia="仿宋" w:cs="仿宋"/>
          <w:sz w:val="28"/>
          <w:szCs w:val="28"/>
        </w:rPr>
        <w:t>了解</w:t>
      </w:r>
      <w:r>
        <w:rPr>
          <w:rFonts w:hint="eastAsia" w:ascii="仿宋" w:hAnsi="仿宋" w:eastAsia="仿宋" w:cs="仿宋"/>
          <w:sz w:val="28"/>
          <w:szCs w:val="28"/>
          <w:lang w:val="en-US" w:eastAsia="zh-CN"/>
        </w:rPr>
        <w:t>恶劣天气下安全常识及</w:t>
      </w:r>
      <w:r>
        <w:rPr>
          <w:rFonts w:hint="eastAsia" w:ascii="仿宋" w:hAnsi="仿宋" w:eastAsia="仿宋" w:cs="仿宋"/>
          <w:sz w:val="28"/>
          <w:szCs w:val="28"/>
        </w:rPr>
        <w:t>应急避险知识、掌握避险保护措施及方法，提高</w:t>
      </w:r>
      <w:r>
        <w:rPr>
          <w:rFonts w:hint="eastAsia" w:ascii="仿宋" w:hAnsi="仿宋" w:eastAsia="仿宋" w:cs="仿宋"/>
          <w:sz w:val="28"/>
          <w:szCs w:val="28"/>
          <w:lang w:val="en-US" w:eastAsia="zh-CN"/>
        </w:rPr>
        <w:t>师生</w:t>
      </w:r>
      <w:r>
        <w:rPr>
          <w:rFonts w:hint="eastAsia" w:ascii="仿宋" w:hAnsi="仿宋" w:eastAsia="仿宋" w:cs="仿宋"/>
          <w:sz w:val="28"/>
          <w:szCs w:val="28"/>
        </w:rPr>
        <w:t>安全意识、安全自救能力和自我保护意识。</w:t>
      </w:r>
    </w:p>
    <w:p w14:paraId="0D4DAE0F">
      <w:pPr>
        <w:keepNext w:val="0"/>
        <w:keepLines w:val="0"/>
        <w:pageBreakBefore w:val="0"/>
        <w:kinsoku/>
        <w:wordWrap/>
        <w:overflowPunct/>
        <w:topLinePunct w:val="0"/>
        <w:autoSpaceDE/>
        <w:autoSpaceDN/>
        <w:bidi w:val="0"/>
        <w:spacing w:line="560" w:lineRule="exact"/>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适用条件</w:t>
      </w:r>
    </w:p>
    <w:p w14:paraId="767BA479">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在</w:t>
      </w:r>
      <w:r>
        <w:rPr>
          <w:rFonts w:hint="eastAsia" w:ascii="仿宋" w:hAnsi="仿宋" w:eastAsia="仿宋" w:cs="仿宋"/>
          <w:sz w:val="28"/>
          <w:szCs w:val="28"/>
          <w:lang w:val="en-US" w:eastAsia="zh-CN"/>
        </w:rPr>
        <w:t>研修</w:t>
      </w:r>
      <w:r>
        <w:rPr>
          <w:rFonts w:hint="eastAsia" w:ascii="仿宋" w:hAnsi="仿宋" w:eastAsia="仿宋" w:cs="仿宋"/>
          <w:sz w:val="28"/>
          <w:szCs w:val="28"/>
        </w:rPr>
        <w:t>活动实施过程中一旦出现突发</w:t>
      </w:r>
      <w:r>
        <w:rPr>
          <w:rFonts w:hint="eastAsia" w:ascii="仿宋" w:hAnsi="仿宋" w:eastAsia="仿宋" w:cs="仿宋"/>
          <w:sz w:val="28"/>
          <w:szCs w:val="28"/>
          <w:lang w:val="en-US" w:eastAsia="zh-CN"/>
        </w:rPr>
        <w:t>恶劣天气</w:t>
      </w:r>
      <w:r>
        <w:rPr>
          <w:rFonts w:hint="eastAsia" w:ascii="仿宋" w:hAnsi="仿宋" w:eastAsia="仿宋" w:cs="仿宋"/>
          <w:sz w:val="28"/>
          <w:szCs w:val="28"/>
        </w:rPr>
        <w:t>，立即启动本预案迅速控制情况，最大限度的减少损失，稳定家</w:t>
      </w:r>
      <w:r>
        <w:rPr>
          <w:rFonts w:hint="eastAsia" w:ascii="仿宋" w:hAnsi="仿宋" w:eastAsia="仿宋" w:cs="仿宋"/>
          <w:sz w:val="28"/>
          <w:szCs w:val="28"/>
          <w:lang w:val="en-US" w:eastAsia="zh-CN"/>
        </w:rPr>
        <w:t>师生情</w:t>
      </w:r>
      <w:r>
        <w:rPr>
          <w:rFonts w:hint="eastAsia" w:ascii="仿宋" w:hAnsi="仿宋" w:eastAsia="仿宋" w:cs="仿宋"/>
          <w:sz w:val="28"/>
          <w:szCs w:val="28"/>
        </w:rPr>
        <w:t>绪，保持正常的活动秩序。</w:t>
      </w:r>
    </w:p>
    <w:p w14:paraId="0DCEC82E">
      <w:pPr>
        <w:keepNext w:val="0"/>
        <w:keepLines w:val="0"/>
        <w:pageBreakBefore w:val="0"/>
        <w:kinsoku/>
        <w:wordWrap/>
        <w:overflowPunct/>
        <w:topLinePunct w:val="0"/>
        <w:autoSpaceDE/>
        <w:autoSpaceDN/>
        <w:bidi w:val="0"/>
        <w:spacing w:line="560" w:lineRule="exact"/>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组织安排</w:t>
      </w:r>
    </w:p>
    <w:p w14:paraId="0A1A8678">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旦发生疑似疫情感染事故，在校方领导人员的统一指挥调度下，立即展开上报、排查、送检等应急处理工作，组织对参加活动全体人员的调查、应急处理和医疗救治工作以及协调有关部门开展工作；对事件进行资料归类、留档、评价，并总结经验和教训。</w:t>
      </w:r>
    </w:p>
    <w:p w14:paraId="34768258">
      <w:pPr>
        <w:keepNext w:val="0"/>
        <w:keepLines w:val="0"/>
        <w:pageBreakBefore w:val="0"/>
        <w:kinsoku/>
        <w:wordWrap/>
        <w:overflowPunct/>
        <w:topLinePunct w:val="0"/>
        <w:autoSpaceDE/>
        <w:autoSpaceDN/>
        <w:bidi w:val="0"/>
        <w:spacing w:line="560" w:lineRule="exact"/>
        <w:ind w:firstLine="0" w:firstLineChars="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行前预防</w:t>
      </w:r>
    </w:p>
    <w:p w14:paraId="14F0B4F0">
      <w:pPr>
        <w:keepNext w:val="0"/>
        <w:keepLines w:val="0"/>
        <w:pageBreakBefore w:val="0"/>
        <w:numPr>
          <w:ilvl w:val="0"/>
          <w:numId w:val="22"/>
        </w:numPr>
        <w:kinsoku/>
        <w:wordWrap/>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组织方和承办方应在行前随时了解研修目的地天气情况，制定恶劣天气应对措施，如更改活动时间、调整行程顺序，准备替代方案等，极端情况下可考虑提前取消活动以避免出现更大的损失。</w:t>
      </w:r>
    </w:p>
    <w:p w14:paraId="6F9582A4">
      <w:pPr>
        <w:keepNext w:val="0"/>
        <w:keepLines w:val="0"/>
        <w:pageBreakBefore w:val="0"/>
        <w:numPr>
          <w:ilvl w:val="0"/>
          <w:numId w:val="22"/>
        </w:numPr>
        <w:kinsoku/>
        <w:wordWrap/>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餐、景、房、物资、车、队医等各模块按照既定预案应对特殊天气、突发状况等，如高温天气提前备好防暑降温药物、雨雪天气提前备好防雨雪及防滑物资、提醒车辆减速慢行等。</w:t>
      </w:r>
    </w:p>
    <w:p w14:paraId="0A685669">
      <w:pPr>
        <w:keepNext w:val="0"/>
        <w:keepLines w:val="0"/>
        <w:pageBreakBefore w:val="0"/>
        <w:numPr>
          <w:ilvl w:val="0"/>
          <w:numId w:val="22"/>
        </w:numPr>
        <w:kinsoku/>
        <w:wordWrap/>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对参加活动师生进行行前安全教育，普及恶劣天气下安全常识及个人防护措施。</w:t>
      </w:r>
    </w:p>
    <w:p w14:paraId="1B53F7E6">
      <w:pPr>
        <w:keepNext w:val="0"/>
        <w:keepLines w:val="0"/>
        <w:pageBreakBefore w:val="0"/>
        <w:kinsoku/>
        <w:wordWrap/>
        <w:overflowPunct/>
        <w:topLinePunct w:val="0"/>
        <w:autoSpaceDE/>
        <w:autoSpaceDN/>
        <w:bidi w:val="0"/>
        <w:spacing w:line="560" w:lineRule="exact"/>
        <w:ind w:firstLine="0" w:firstLineChars="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行中管理</w:t>
      </w:r>
    </w:p>
    <w:p w14:paraId="0EFF4335">
      <w:pPr>
        <w:keepNext w:val="0"/>
        <w:keepLines w:val="0"/>
        <w:pageBreakBefore w:val="0"/>
        <w:numPr>
          <w:ilvl w:val="0"/>
          <w:numId w:val="23"/>
        </w:numPr>
        <w:kinsoku/>
        <w:wordWrap/>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行中遇高温天气时，应尽量减少室外活动时长，采取调整行程顺序或改变行程等措施，避免出现中暑等情况；一旦出现应及时进行医疗处理，避免情况加剧。主办方和承办方负责人应预判天气情况对研修活动的影响程度，持续高温不适宜外出活动的，应及时调整行程。</w:t>
      </w:r>
    </w:p>
    <w:p w14:paraId="1D1C6A12">
      <w:pPr>
        <w:keepNext w:val="0"/>
        <w:keepLines w:val="0"/>
        <w:pageBreakBefore w:val="0"/>
        <w:numPr>
          <w:ilvl w:val="0"/>
          <w:numId w:val="23"/>
        </w:numPr>
        <w:kinsoku/>
        <w:wordWrap/>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行中遇雨雪大雾天气时，主办方和承办方负责人应预判天气情况对研修活动的影响程度，活动能正常进行的，研修导师应特别加强安全提醒和安全防护措施，增加对学生疾病防控、防摔防滑方面的安全提示频次，并适当的加快或降低学生活动进度。雨雪雾天气行车时，司机应减速慢行，注意来往车辆和行人，尽量避免急刹车等，确保师生安全。</w:t>
      </w:r>
    </w:p>
    <w:p w14:paraId="2283D368">
      <w:pPr>
        <w:keepNext w:val="0"/>
        <w:keepLines w:val="0"/>
        <w:pageBreakBefore w:val="0"/>
        <w:numPr>
          <w:ilvl w:val="0"/>
          <w:numId w:val="23"/>
        </w:numPr>
        <w:kinsoku/>
        <w:wordWrap/>
        <w:overflowPunct/>
        <w:topLinePunct w:val="0"/>
        <w:autoSpaceDE/>
        <w:autoSpaceDN/>
        <w:bidi w:val="0"/>
        <w:spacing w:line="560" w:lineRule="exact"/>
        <w:ind w:firstLine="560" w:firstLineChars="200"/>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行中遇极端雨雪雾天等天气时，应第一时间启动应急预案，采用备选活动方案；进入景区或研修基地后突发极端天气时，应以师生安全为第一要务迅速停止户外活动，及时就近寻找安全避险区域，待天气状况稳定时第一时间集合，再确认后续行程安排。</w:t>
      </w:r>
    </w:p>
    <w:p w14:paraId="26DC5DAF">
      <w:pPr>
        <w:keepNext w:val="0"/>
        <w:keepLines w:val="0"/>
        <w:pageBreakBefore w:val="0"/>
        <w:numPr>
          <w:ilvl w:val="0"/>
          <w:numId w:val="23"/>
        </w:numPr>
        <w:kinsoku/>
        <w:wordWrap/>
        <w:overflowPunct/>
        <w:topLinePunct w:val="0"/>
        <w:autoSpaceDE/>
        <w:autoSpaceDN/>
        <w:bidi w:val="0"/>
        <w:spacing w:line="560" w:lineRule="exact"/>
        <w:ind w:firstLine="560" w:firstLineChars="200"/>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涉及</w:t>
      </w:r>
      <w:r>
        <w:rPr>
          <w:rFonts w:hint="eastAsia" w:ascii="仿宋" w:hAnsi="仿宋" w:eastAsia="仿宋" w:cs="仿宋"/>
          <w:sz w:val="28"/>
          <w:szCs w:val="28"/>
          <w:lang w:val="zh-CN" w:eastAsia="zh-CN"/>
        </w:rPr>
        <w:t>公共卫生事件、社会安全事件等发生时，突发事件应急处理领导小组</w:t>
      </w:r>
      <w:r>
        <w:rPr>
          <w:rFonts w:hint="eastAsia" w:ascii="仿宋" w:hAnsi="仿宋" w:eastAsia="仿宋" w:cs="仿宋"/>
          <w:sz w:val="28"/>
          <w:szCs w:val="28"/>
          <w:lang w:val="en-US" w:eastAsia="zh-CN"/>
        </w:rPr>
        <w:t>应迅速</w:t>
      </w:r>
      <w:r>
        <w:rPr>
          <w:rFonts w:hint="eastAsia" w:ascii="仿宋" w:hAnsi="仿宋" w:eastAsia="仿宋" w:cs="仿宋"/>
          <w:sz w:val="28"/>
          <w:szCs w:val="28"/>
          <w:lang w:val="zh-CN" w:eastAsia="zh-CN"/>
        </w:rPr>
        <w:t>收集信息，作出准确判断，制定处理办法，必要时调整活动时间乃至取消活动。</w:t>
      </w:r>
    </w:p>
    <w:p w14:paraId="49A72A50">
      <w:pPr>
        <w:keepNext w:val="0"/>
        <w:keepLines w:val="0"/>
        <w:pageBreakBefore w:val="0"/>
        <w:numPr>
          <w:ilvl w:val="0"/>
          <w:numId w:val="23"/>
        </w:numPr>
        <w:kinsoku/>
        <w:wordWrap/>
        <w:overflowPunct/>
        <w:topLinePunct w:val="0"/>
        <w:autoSpaceDE/>
        <w:autoSpaceDN/>
        <w:bidi w:val="0"/>
        <w:spacing w:line="560" w:lineRule="exact"/>
        <w:ind w:firstLine="560" w:firstLineChars="200"/>
        <w:rPr>
          <w:rFonts w:hint="eastAsia" w:ascii="仿宋" w:hAnsi="仿宋" w:eastAsia="仿宋" w:cs="仿宋"/>
          <w:b/>
          <w:sz w:val="28"/>
          <w:szCs w:val="28"/>
          <w:shd w:val="clear" w:color="auto" w:fill="FFFFFF"/>
          <w:lang w:val="en-US" w:eastAsia="zh-CN"/>
        </w:rPr>
      </w:pPr>
      <w:r>
        <w:rPr>
          <w:rFonts w:hint="eastAsia" w:ascii="仿宋" w:hAnsi="仿宋" w:eastAsia="仿宋" w:cs="仿宋"/>
          <w:sz w:val="28"/>
          <w:szCs w:val="28"/>
          <w:lang w:val="zh-CN" w:eastAsia="zh-CN"/>
        </w:rPr>
        <w:t>事后，根据 “以法律为准绳、以事实为依据”的原则，本着“以人为本”精神，按照上级有关部门指示，妥善做好项善后工作，</w:t>
      </w:r>
      <w:r>
        <w:rPr>
          <w:rFonts w:hint="eastAsia" w:ascii="仿宋" w:hAnsi="仿宋" w:eastAsia="仿宋" w:cs="仿宋"/>
          <w:sz w:val="28"/>
          <w:szCs w:val="28"/>
          <w:lang w:val="en-US" w:eastAsia="zh-CN"/>
        </w:rPr>
        <w:t>涉及保险理赔的，要及时做好</w:t>
      </w:r>
      <w:r>
        <w:rPr>
          <w:rFonts w:hint="eastAsia" w:ascii="仿宋" w:hAnsi="仿宋" w:eastAsia="仿宋" w:cs="仿宋"/>
          <w:sz w:val="28"/>
          <w:szCs w:val="28"/>
          <w:lang w:val="zh-CN" w:eastAsia="zh-CN"/>
        </w:rPr>
        <w:t>保险理赔</w:t>
      </w:r>
      <w:r>
        <w:rPr>
          <w:rFonts w:hint="eastAsia" w:ascii="仿宋" w:hAnsi="仿宋" w:eastAsia="仿宋" w:cs="仿宋"/>
          <w:sz w:val="28"/>
          <w:szCs w:val="28"/>
          <w:lang w:val="en-US" w:eastAsia="zh-CN"/>
        </w:rPr>
        <w:t>相关</w:t>
      </w:r>
      <w:r>
        <w:rPr>
          <w:rFonts w:hint="eastAsia" w:ascii="仿宋" w:hAnsi="仿宋" w:eastAsia="仿宋" w:cs="仿宋"/>
          <w:sz w:val="28"/>
          <w:szCs w:val="28"/>
          <w:lang w:val="zh-CN" w:eastAsia="zh-CN"/>
        </w:rPr>
        <w:t>事项。</w:t>
      </w:r>
    </w:p>
    <w:p w14:paraId="14C77F9F">
      <w:pPr>
        <w:keepNext w:val="0"/>
        <w:keepLines w:val="0"/>
        <w:pageBreakBefore w:val="0"/>
        <w:kinsoku/>
        <w:wordWrap/>
        <w:overflowPunct/>
        <w:topLinePunct w:val="0"/>
        <w:autoSpaceDE/>
        <w:autoSpaceDN/>
        <w:bidi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完</w:t>
      </w:r>
      <w:r>
        <w:rPr>
          <w:rFonts w:hint="eastAsia" w:ascii="仿宋" w:hAnsi="仿宋" w:eastAsia="仿宋" w:cs="仿宋"/>
          <w:sz w:val="28"/>
          <w:szCs w:val="28"/>
          <w:lang w:eastAsia="zh-CN"/>
        </w:rPr>
        <w:t>）</w:t>
      </w:r>
    </w:p>
    <w:p w14:paraId="65DE6A0F">
      <w:pPr>
        <w:keepNext w:val="0"/>
        <w:keepLines w:val="0"/>
        <w:pageBreakBefore w:val="0"/>
        <w:kinsoku/>
        <w:wordWrap/>
        <w:overflowPunct/>
        <w:topLinePunct w:val="0"/>
        <w:autoSpaceDE/>
        <w:autoSpaceDN/>
        <w:bidi w:val="0"/>
        <w:spacing w:line="560" w:lineRule="exact"/>
        <w:ind w:firstLine="3360" w:firstLineChars="1200"/>
        <w:rPr>
          <w:rFonts w:hint="eastAsia" w:ascii="仿宋" w:hAnsi="仿宋" w:eastAsia="仿宋" w:cs="仿宋"/>
          <w:sz w:val="28"/>
          <w:szCs w:val="28"/>
        </w:rPr>
      </w:pPr>
      <w:bookmarkStart w:id="4" w:name="_GoBack"/>
      <w:bookmarkEnd w:id="4"/>
    </w:p>
    <w:p w14:paraId="778B08CD">
      <w:pPr>
        <w:keepNext w:val="0"/>
        <w:keepLines w:val="0"/>
        <w:pageBreakBefore w:val="0"/>
        <w:kinsoku/>
        <w:wordWrap/>
        <w:overflowPunct/>
        <w:topLinePunct w:val="0"/>
        <w:autoSpaceDE/>
        <w:autoSpaceDN/>
        <w:bidi w:val="0"/>
        <w:spacing w:line="560" w:lineRule="exact"/>
        <w:ind w:firstLine="0" w:firstLineChars="0"/>
        <w:rPr>
          <w:rFonts w:hint="eastAsia" w:ascii="仿宋" w:hAnsi="仿宋" w:eastAsia="仿宋" w:cs="仿宋"/>
          <w:sz w:val="28"/>
          <w:szCs w:val="28"/>
          <w:lang w:val="en-US" w:eastAsia="zh-CN"/>
        </w:rPr>
      </w:pPr>
    </w:p>
    <w:p w14:paraId="1785D1A5">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br w:type="page"/>
      </w:r>
    </w:p>
    <w:p w14:paraId="7D25106C">
      <w:pPr>
        <w:keepNext w:val="0"/>
        <w:keepLines w:val="0"/>
        <w:pageBreakBefore w:val="0"/>
        <w:kinsoku/>
        <w:wordWrap/>
        <w:overflowPunct/>
        <w:topLinePunct w:val="0"/>
        <w:autoSpaceDE/>
        <w:autoSpaceDN/>
        <w:bidi w:val="0"/>
        <w:spacing w:line="560" w:lineRule="exact"/>
        <w:ind w:firstLine="0" w:firstLineChars="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附件六</w:t>
      </w:r>
    </w:p>
    <w:p w14:paraId="3D436D32">
      <w:pPr>
        <w:keepNext w:val="0"/>
        <w:keepLines w:val="0"/>
        <w:pageBreakBefore w:val="0"/>
        <w:kinsoku/>
        <w:wordWrap/>
        <w:overflowPunct/>
        <w:topLinePunct w:val="0"/>
        <w:autoSpaceDE/>
        <w:autoSpaceDN/>
        <w:bidi w:val="0"/>
        <w:spacing w:line="5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活动负责人、具体经办人员信息表</w:t>
      </w:r>
    </w:p>
    <w:p w14:paraId="437147FA">
      <w:pPr>
        <w:keepNext w:val="0"/>
        <w:keepLines w:val="0"/>
        <w:pageBreakBefore w:val="0"/>
        <w:kinsoku/>
        <w:wordWrap/>
        <w:overflowPunct/>
        <w:topLinePunct w:val="0"/>
        <w:autoSpaceDE/>
        <w:autoSpaceDN/>
        <w:bidi w:val="0"/>
        <w:spacing w:line="5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（列明姓名、身份证号码、联系电话）</w:t>
      </w:r>
    </w:p>
    <w:p w14:paraId="2E75BB92">
      <w:pPr>
        <w:keepNext w:val="0"/>
        <w:keepLines w:val="0"/>
        <w:pageBreakBefore w:val="0"/>
        <w:kinsoku/>
        <w:wordWrap/>
        <w:overflowPunct/>
        <w:topLinePunct w:val="0"/>
        <w:autoSpaceDE/>
        <w:autoSpaceDN/>
        <w:bidi w:val="0"/>
        <w:spacing w:line="560" w:lineRule="exact"/>
        <w:ind w:firstLine="3360" w:firstLineChars="1200"/>
        <w:rPr>
          <w:rFonts w:hint="eastAsia" w:ascii="仿宋" w:hAnsi="仿宋" w:eastAsia="仿宋" w:cs="仿宋"/>
          <w:sz w:val="28"/>
          <w:szCs w:val="28"/>
        </w:rPr>
      </w:pPr>
    </w:p>
    <w:tbl>
      <w:tblPr>
        <w:tblStyle w:val="34"/>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126"/>
        <w:gridCol w:w="1518"/>
        <w:gridCol w:w="1309"/>
        <w:gridCol w:w="1196"/>
        <w:gridCol w:w="1081"/>
        <w:gridCol w:w="1975"/>
      </w:tblGrid>
      <w:tr w14:paraId="0DD8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5" w:type="dxa"/>
            <w:vMerge w:val="restart"/>
          </w:tcPr>
          <w:p w14:paraId="7EF83A5A">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项目方</w:t>
            </w:r>
          </w:p>
        </w:tc>
        <w:tc>
          <w:tcPr>
            <w:tcW w:w="3953" w:type="dxa"/>
            <w:gridSpan w:val="3"/>
          </w:tcPr>
          <w:p w14:paraId="032646F7">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活动负责人</w:t>
            </w:r>
          </w:p>
        </w:tc>
        <w:tc>
          <w:tcPr>
            <w:tcW w:w="4252" w:type="dxa"/>
            <w:gridSpan w:val="3"/>
          </w:tcPr>
          <w:p w14:paraId="20D5DC10">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具体经办人</w:t>
            </w:r>
          </w:p>
        </w:tc>
      </w:tr>
      <w:tr w14:paraId="634A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vMerge w:val="continue"/>
          </w:tcPr>
          <w:p w14:paraId="01162F7C">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sz w:val="28"/>
                <w:szCs w:val="28"/>
                <w:vertAlign w:val="baseline"/>
                <w:lang w:val="en-US" w:eastAsia="zh-CN"/>
              </w:rPr>
            </w:pPr>
          </w:p>
        </w:tc>
        <w:tc>
          <w:tcPr>
            <w:tcW w:w="1126" w:type="dxa"/>
          </w:tcPr>
          <w:p w14:paraId="19657A78">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姓名</w:t>
            </w:r>
          </w:p>
        </w:tc>
        <w:tc>
          <w:tcPr>
            <w:tcW w:w="1518" w:type="dxa"/>
          </w:tcPr>
          <w:p w14:paraId="4519AF9A">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身份证号码</w:t>
            </w:r>
          </w:p>
        </w:tc>
        <w:tc>
          <w:tcPr>
            <w:tcW w:w="1309" w:type="dxa"/>
          </w:tcPr>
          <w:p w14:paraId="37C650C5">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联系电话</w:t>
            </w:r>
          </w:p>
        </w:tc>
        <w:tc>
          <w:tcPr>
            <w:tcW w:w="1196" w:type="dxa"/>
          </w:tcPr>
          <w:p w14:paraId="3660B7CF">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姓名</w:t>
            </w:r>
          </w:p>
        </w:tc>
        <w:tc>
          <w:tcPr>
            <w:tcW w:w="1081" w:type="dxa"/>
          </w:tcPr>
          <w:p w14:paraId="29CAF607">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身份证号码</w:t>
            </w:r>
          </w:p>
        </w:tc>
        <w:tc>
          <w:tcPr>
            <w:tcW w:w="1975" w:type="dxa"/>
          </w:tcPr>
          <w:p w14:paraId="7F1691F9">
            <w:pPr>
              <w:keepNext w:val="0"/>
              <w:keepLines w:val="0"/>
              <w:pageBreakBefore w:val="0"/>
              <w:kinsoku/>
              <w:wordWrap/>
              <w:overflowPunct/>
              <w:topLinePunct w:val="0"/>
              <w:autoSpaceDE/>
              <w:autoSpaceDN/>
              <w:bidi w:val="0"/>
              <w:spacing w:line="560" w:lineRule="exac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联系电话</w:t>
            </w:r>
          </w:p>
        </w:tc>
      </w:tr>
      <w:tr w14:paraId="556E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tcPr>
          <w:p w14:paraId="6D532F72">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甲方</w:t>
            </w:r>
          </w:p>
        </w:tc>
        <w:tc>
          <w:tcPr>
            <w:tcW w:w="1126" w:type="dxa"/>
          </w:tcPr>
          <w:p w14:paraId="4BD0988D">
            <w:pPr>
              <w:keepNext w:val="0"/>
              <w:keepLines w:val="0"/>
              <w:pageBreakBefore w:val="0"/>
              <w:kinsoku/>
              <w:wordWrap/>
              <w:overflowPunct/>
              <w:topLinePunct w:val="0"/>
              <w:autoSpaceDE/>
              <w:autoSpaceDN/>
              <w:bidi w:val="0"/>
              <w:spacing w:line="560" w:lineRule="exact"/>
              <w:rPr>
                <w:rFonts w:hint="eastAsia" w:ascii="仿宋" w:hAnsi="仿宋" w:eastAsia="仿宋" w:cs="仿宋"/>
                <w:sz w:val="28"/>
                <w:szCs w:val="28"/>
                <w:vertAlign w:val="baseline"/>
                <w:lang w:val="en-US" w:eastAsia="zh-CN"/>
              </w:rPr>
            </w:pPr>
          </w:p>
        </w:tc>
        <w:tc>
          <w:tcPr>
            <w:tcW w:w="1518" w:type="dxa"/>
          </w:tcPr>
          <w:p w14:paraId="70FDCFAB">
            <w:pPr>
              <w:keepNext w:val="0"/>
              <w:keepLines w:val="0"/>
              <w:pageBreakBefore w:val="0"/>
              <w:kinsoku/>
              <w:wordWrap/>
              <w:overflowPunct/>
              <w:topLinePunct w:val="0"/>
              <w:autoSpaceDE/>
              <w:autoSpaceDN/>
              <w:bidi w:val="0"/>
              <w:spacing w:line="560" w:lineRule="exact"/>
              <w:rPr>
                <w:rFonts w:hint="eastAsia" w:ascii="仿宋" w:hAnsi="仿宋" w:eastAsia="仿宋" w:cs="仿宋"/>
                <w:sz w:val="28"/>
                <w:szCs w:val="28"/>
                <w:vertAlign w:val="baseline"/>
                <w:lang w:val="en-US" w:eastAsia="zh-CN"/>
              </w:rPr>
            </w:pPr>
          </w:p>
        </w:tc>
        <w:tc>
          <w:tcPr>
            <w:tcW w:w="1309" w:type="dxa"/>
          </w:tcPr>
          <w:p w14:paraId="5C8112E8">
            <w:pPr>
              <w:keepNext w:val="0"/>
              <w:keepLines w:val="0"/>
              <w:pageBreakBefore w:val="0"/>
              <w:kinsoku/>
              <w:wordWrap/>
              <w:overflowPunct/>
              <w:topLinePunct w:val="0"/>
              <w:autoSpaceDE/>
              <w:autoSpaceDN/>
              <w:bidi w:val="0"/>
              <w:spacing w:line="560" w:lineRule="exact"/>
              <w:rPr>
                <w:rFonts w:hint="eastAsia" w:ascii="仿宋" w:hAnsi="仿宋" w:eastAsia="仿宋" w:cs="仿宋"/>
                <w:sz w:val="28"/>
                <w:szCs w:val="28"/>
                <w:vertAlign w:val="baseline"/>
                <w:lang w:val="en-US" w:eastAsia="zh-CN"/>
              </w:rPr>
            </w:pPr>
          </w:p>
        </w:tc>
        <w:tc>
          <w:tcPr>
            <w:tcW w:w="1196" w:type="dxa"/>
          </w:tcPr>
          <w:p w14:paraId="205EEABC">
            <w:pPr>
              <w:keepNext w:val="0"/>
              <w:keepLines w:val="0"/>
              <w:pageBreakBefore w:val="0"/>
              <w:kinsoku/>
              <w:wordWrap/>
              <w:overflowPunct/>
              <w:topLinePunct w:val="0"/>
              <w:autoSpaceDE/>
              <w:autoSpaceDN/>
              <w:bidi w:val="0"/>
              <w:spacing w:line="560" w:lineRule="exact"/>
              <w:rPr>
                <w:rFonts w:hint="eastAsia" w:ascii="仿宋" w:hAnsi="仿宋" w:eastAsia="仿宋" w:cs="仿宋"/>
                <w:sz w:val="28"/>
                <w:szCs w:val="28"/>
                <w:vertAlign w:val="baseline"/>
                <w:lang w:val="en-US" w:eastAsia="zh-CN"/>
              </w:rPr>
            </w:pPr>
          </w:p>
        </w:tc>
        <w:tc>
          <w:tcPr>
            <w:tcW w:w="1081" w:type="dxa"/>
          </w:tcPr>
          <w:p w14:paraId="45CAF2EB">
            <w:pPr>
              <w:keepNext w:val="0"/>
              <w:keepLines w:val="0"/>
              <w:pageBreakBefore w:val="0"/>
              <w:kinsoku/>
              <w:wordWrap/>
              <w:overflowPunct/>
              <w:topLinePunct w:val="0"/>
              <w:autoSpaceDE/>
              <w:autoSpaceDN/>
              <w:bidi w:val="0"/>
              <w:spacing w:line="560" w:lineRule="exact"/>
              <w:rPr>
                <w:rFonts w:hint="eastAsia" w:ascii="仿宋" w:hAnsi="仿宋" w:eastAsia="仿宋" w:cs="仿宋"/>
                <w:sz w:val="28"/>
                <w:szCs w:val="28"/>
                <w:vertAlign w:val="baseline"/>
                <w:lang w:val="en-US" w:eastAsia="zh-CN"/>
              </w:rPr>
            </w:pPr>
          </w:p>
        </w:tc>
        <w:tc>
          <w:tcPr>
            <w:tcW w:w="1975" w:type="dxa"/>
          </w:tcPr>
          <w:p w14:paraId="3428ADFD">
            <w:pPr>
              <w:keepNext w:val="0"/>
              <w:keepLines w:val="0"/>
              <w:pageBreakBefore w:val="0"/>
              <w:kinsoku/>
              <w:wordWrap/>
              <w:overflowPunct/>
              <w:topLinePunct w:val="0"/>
              <w:autoSpaceDE/>
              <w:autoSpaceDN/>
              <w:bidi w:val="0"/>
              <w:spacing w:line="560" w:lineRule="exact"/>
              <w:rPr>
                <w:rFonts w:hint="eastAsia" w:ascii="仿宋" w:hAnsi="仿宋" w:eastAsia="仿宋" w:cs="仿宋"/>
                <w:sz w:val="28"/>
                <w:szCs w:val="28"/>
                <w:vertAlign w:val="baseline"/>
                <w:lang w:val="en-US" w:eastAsia="zh-CN"/>
              </w:rPr>
            </w:pPr>
          </w:p>
        </w:tc>
      </w:tr>
      <w:tr w14:paraId="4E8D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tcPr>
          <w:p w14:paraId="6F5361D0">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乙方</w:t>
            </w:r>
          </w:p>
        </w:tc>
        <w:tc>
          <w:tcPr>
            <w:tcW w:w="1126" w:type="dxa"/>
          </w:tcPr>
          <w:p w14:paraId="41DBC8A8">
            <w:pPr>
              <w:keepNext w:val="0"/>
              <w:keepLines w:val="0"/>
              <w:pageBreakBefore w:val="0"/>
              <w:kinsoku/>
              <w:wordWrap/>
              <w:overflowPunct/>
              <w:topLinePunct w:val="0"/>
              <w:autoSpaceDE/>
              <w:autoSpaceDN/>
              <w:bidi w:val="0"/>
              <w:spacing w:line="560" w:lineRule="exact"/>
              <w:rPr>
                <w:rFonts w:hint="eastAsia" w:ascii="仿宋" w:hAnsi="仿宋" w:eastAsia="仿宋" w:cs="仿宋"/>
                <w:sz w:val="28"/>
                <w:szCs w:val="28"/>
                <w:vertAlign w:val="baseline"/>
                <w:lang w:val="en-US" w:eastAsia="zh-CN"/>
              </w:rPr>
            </w:pPr>
          </w:p>
        </w:tc>
        <w:tc>
          <w:tcPr>
            <w:tcW w:w="1518" w:type="dxa"/>
          </w:tcPr>
          <w:p w14:paraId="1B8C7126">
            <w:pPr>
              <w:keepNext w:val="0"/>
              <w:keepLines w:val="0"/>
              <w:pageBreakBefore w:val="0"/>
              <w:kinsoku/>
              <w:wordWrap/>
              <w:overflowPunct/>
              <w:topLinePunct w:val="0"/>
              <w:autoSpaceDE/>
              <w:autoSpaceDN/>
              <w:bidi w:val="0"/>
              <w:spacing w:line="560" w:lineRule="exact"/>
              <w:rPr>
                <w:rFonts w:hint="eastAsia" w:ascii="仿宋" w:hAnsi="仿宋" w:eastAsia="仿宋" w:cs="仿宋"/>
                <w:sz w:val="28"/>
                <w:szCs w:val="28"/>
                <w:vertAlign w:val="baseline"/>
                <w:lang w:val="en-US" w:eastAsia="zh-CN"/>
              </w:rPr>
            </w:pPr>
          </w:p>
        </w:tc>
        <w:tc>
          <w:tcPr>
            <w:tcW w:w="1309" w:type="dxa"/>
          </w:tcPr>
          <w:p w14:paraId="1C44E4E2">
            <w:pPr>
              <w:keepNext w:val="0"/>
              <w:keepLines w:val="0"/>
              <w:pageBreakBefore w:val="0"/>
              <w:kinsoku/>
              <w:wordWrap/>
              <w:overflowPunct/>
              <w:topLinePunct w:val="0"/>
              <w:autoSpaceDE/>
              <w:autoSpaceDN/>
              <w:bidi w:val="0"/>
              <w:spacing w:line="560" w:lineRule="exact"/>
              <w:rPr>
                <w:rFonts w:hint="eastAsia" w:ascii="仿宋" w:hAnsi="仿宋" w:eastAsia="仿宋" w:cs="仿宋"/>
                <w:sz w:val="28"/>
                <w:szCs w:val="28"/>
                <w:vertAlign w:val="baseline"/>
                <w:lang w:val="en-US" w:eastAsia="zh-CN"/>
              </w:rPr>
            </w:pPr>
          </w:p>
        </w:tc>
        <w:tc>
          <w:tcPr>
            <w:tcW w:w="1196" w:type="dxa"/>
          </w:tcPr>
          <w:p w14:paraId="52C26E28">
            <w:pPr>
              <w:keepNext w:val="0"/>
              <w:keepLines w:val="0"/>
              <w:pageBreakBefore w:val="0"/>
              <w:kinsoku/>
              <w:wordWrap/>
              <w:overflowPunct/>
              <w:topLinePunct w:val="0"/>
              <w:autoSpaceDE/>
              <w:autoSpaceDN/>
              <w:bidi w:val="0"/>
              <w:spacing w:line="560" w:lineRule="exact"/>
              <w:rPr>
                <w:rFonts w:hint="eastAsia" w:ascii="仿宋" w:hAnsi="仿宋" w:eastAsia="仿宋" w:cs="仿宋"/>
                <w:sz w:val="28"/>
                <w:szCs w:val="28"/>
                <w:vertAlign w:val="baseline"/>
                <w:lang w:val="en-US" w:eastAsia="zh-CN"/>
              </w:rPr>
            </w:pPr>
          </w:p>
        </w:tc>
        <w:tc>
          <w:tcPr>
            <w:tcW w:w="1081" w:type="dxa"/>
          </w:tcPr>
          <w:p w14:paraId="236FC61B">
            <w:pPr>
              <w:keepNext w:val="0"/>
              <w:keepLines w:val="0"/>
              <w:pageBreakBefore w:val="0"/>
              <w:kinsoku/>
              <w:wordWrap/>
              <w:overflowPunct/>
              <w:topLinePunct w:val="0"/>
              <w:autoSpaceDE/>
              <w:autoSpaceDN/>
              <w:bidi w:val="0"/>
              <w:spacing w:line="560" w:lineRule="exact"/>
              <w:rPr>
                <w:rFonts w:hint="eastAsia" w:ascii="仿宋" w:hAnsi="仿宋" w:eastAsia="仿宋" w:cs="仿宋"/>
                <w:sz w:val="28"/>
                <w:szCs w:val="28"/>
              </w:rPr>
            </w:pPr>
          </w:p>
        </w:tc>
        <w:tc>
          <w:tcPr>
            <w:tcW w:w="1975" w:type="dxa"/>
          </w:tcPr>
          <w:p w14:paraId="59542D36">
            <w:pPr>
              <w:keepNext w:val="0"/>
              <w:keepLines w:val="0"/>
              <w:pageBreakBefore w:val="0"/>
              <w:kinsoku/>
              <w:wordWrap/>
              <w:overflowPunct/>
              <w:topLinePunct w:val="0"/>
              <w:autoSpaceDE/>
              <w:autoSpaceDN/>
              <w:bidi w:val="0"/>
              <w:spacing w:line="560" w:lineRule="exact"/>
              <w:rPr>
                <w:rFonts w:hint="eastAsia" w:ascii="仿宋" w:hAnsi="仿宋" w:eastAsia="仿宋" w:cs="仿宋"/>
                <w:sz w:val="28"/>
                <w:szCs w:val="28"/>
                <w:vertAlign w:val="baseline"/>
                <w:lang w:val="en-US" w:eastAsia="zh-CN"/>
              </w:rPr>
            </w:pPr>
          </w:p>
        </w:tc>
      </w:tr>
    </w:tbl>
    <w:p w14:paraId="48DAF67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lang w:val="en-US" w:eastAsia="zh-CN"/>
        </w:rPr>
      </w:pPr>
    </w:p>
    <w:p w14:paraId="3CD0B7E5">
      <w:pPr>
        <w:jc w:val="center"/>
        <w:rPr>
          <w:rFonts w:ascii="黑体" w:hAnsi="黑体" w:eastAsia="黑体"/>
          <w:b/>
          <w:sz w:val="32"/>
        </w:rPr>
      </w:pPr>
    </w:p>
    <w:p w14:paraId="58AD2E69">
      <w:pPr>
        <w:jc w:val="center"/>
        <w:rPr>
          <w:rFonts w:ascii="黑体" w:hAnsi="黑体" w:eastAsia="黑体"/>
          <w:b/>
          <w:sz w:val="32"/>
        </w:rPr>
      </w:pPr>
    </w:p>
    <w:p w14:paraId="16F14230">
      <w:pPr>
        <w:jc w:val="center"/>
        <w:rPr>
          <w:rFonts w:ascii="黑体" w:hAnsi="黑体" w:eastAsia="黑体"/>
          <w:b/>
          <w:sz w:val="32"/>
        </w:rPr>
      </w:pPr>
    </w:p>
    <w:p w14:paraId="2B77CF5A">
      <w:pPr>
        <w:jc w:val="center"/>
        <w:rPr>
          <w:rFonts w:ascii="黑体" w:hAnsi="黑体" w:eastAsia="黑体"/>
          <w:b/>
          <w:sz w:val="32"/>
        </w:rPr>
      </w:pPr>
    </w:p>
    <w:p w14:paraId="3EE9083A">
      <w:pPr>
        <w:jc w:val="center"/>
        <w:rPr>
          <w:rFonts w:ascii="黑体" w:hAnsi="黑体" w:eastAsia="黑体"/>
          <w:b/>
          <w:sz w:val="32"/>
        </w:rPr>
      </w:pPr>
    </w:p>
    <w:p w14:paraId="20E39902">
      <w:pPr>
        <w:jc w:val="center"/>
        <w:rPr>
          <w:rFonts w:ascii="黑体" w:hAnsi="黑体" w:eastAsia="黑体"/>
          <w:b/>
          <w:sz w:val="32"/>
        </w:rPr>
      </w:pPr>
    </w:p>
    <w:p w14:paraId="0C7CB227">
      <w:pPr>
        <w:jc w:val="center"/>
        <w:rPr>
          <w:rFonts w:ascii="黑体" w:hAnsi="黑体" w:eastAsia="黑体"/>
          <w:b/>
          <w:sz w:val="32"/>
        </w:rPr>
      </w:pPr>
    </w:p>
    <w:p w14:paraId="741E5A16">
      <w:pPr>
        <w:jc w:val="center"/>
        <w:rPr>
          <w:rFonts w:ascii="黑体" w:hAnsi="黑体" w:eastAsia="黑体"/>
          <w:b/>
          <w:sz w:val="32"/>
        </w:rPr>
      </w:pPr>
    </w:p>
    <w:p w14:paraId="01FE03EE">
      <w:pPr>
        <w:jc w:val="center"/>
      </w:pPr>
      <w:r>
        <w:rPr>
          <w:rFonts w:ascii="黑体" w:hAnsi="黑体" w:eastAsia="黑体"/>
          <w:b/>
          <w:sz w:val="32"/>
        </w:rPr>
        <w:t>七、响应文件格式</w:t>
      </w:r>
    </w:p>
    <w:p w14:paraId="44D77B48">
      <w:pPr>
        <w:jc w:val="center"/>
      </w:pPr>
      <w:r>
        <w:rPr>
          <w:rFonts w:ascii="黑体" w:hAnsi="黑体" w:eastAsia="黑体"/>
          <w:b/>
          <w:sz w:val="56"/>
        </w:rPr>
        <w:t>比 选 文 件</w:t>
      </w:r>
    </w:p>
    <w:p w14:paraId="7260922D"/>
    <w:p w14:paraId="50A38AA2"/>
    <w:p w14:paraId="141F76B8"/>
    <w:p w14:paraId="00C32152"/>
    <w:p w14:paraId="0D14CFA8"/>
    <w:p w14:paraId="025E2C43"/>
    <w:p w14:paraId="757BFF50"/>
    <w:p w14:paraId="0960E161"/>
    <w:p w14:paraId="1968C9B1">
      <w:pPr>
        <w:jc w:val="center"/>
      </w:pPr>
      <w:r>
        <w:rPr>
          <w:rFonts w:ascii="宋体" w:hAnsi="宋体" w:eastAsia="宋体"/>
          <w:b w:val="0"/>
          <w:sz w:val="28"/>
        </w:rPr>
        <w:t xml:space="preserve">项目名称：                               </w:t>
      </w:r>
    </w:p>
    <w:p w14:paraId="4210B764">
      <w:pPr>
        <w:jc w:val="center"/>
      </w:pPr>
      <w:r>
        <w:rPr>
          <w:rFonts w:ascii="宋体" w:hAnsi="宋体" w:eastAsia="宋体"/>
          <w:b w:val="0"/>
          <w:sz w:val="28"/>
        </w:rPr>
        <w:t xml:space="preserve">投 标 人：     （加盖公章）              </w:t>
      </w:r>
    </w:p>
    <w:p w14:paraId="0D5E33C0">
      <w:pPr>
        <w:jc w:val="center"/>
      </w:pPr>
      <w:r>
        <w:rPr>
          <w:rFonts w:ascii="宋体" w:hAnsi="宋体" w:eastAsia="宋体"/>
          <w:b w:val="0"/>
          <w:sz w:val="28"/>
        </w:rPr>
        <w:t xml:space="preserve">法定代表人或其代理人： （签字或盖章）    </w:t>
      </w:r>
    </w:p>
    <w:p w14:paraId="00641E15">
      <w:pPr>
        <w:jc w:val="center"/>
      </w:pPr>
      <w:r>
        <w:rPr>
          <w:rFonts w:ascii="宋体" w:hAnsi="宋体" w:eastAsia="宋体"/>
          <w:b w:val="0"/>
          <w:sz w:val="28"/>
        </w:rPr>
        <w:t xml:space="preserve">      年    月    日</w:t>
      </w:r>
    </w:p>
    <w:p w14:paraId="31EE5584">
      <w:r>
        <w:br w:type="page"/>
      </w:r>
    </w:p>
    <w:p w14:paraId="292AF4CB">
      <w:pPr>
        <w:jc w:val="left"/>
      </w:pPr>
      <w:r>
        <w:rPr>
          <w:rFonts w:ascii="黑体" w:hAnsi="黑体" w:eastAsia="黑体"/>
          <w:b/>
          <w:sz w:val="28"/>
        </w:rPr>
        <w:t>资格审核资料目录</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2"/>
        <w:gridCol w:w="4415"/>
        <w:gridCol w:w="837"/>
        <w:gridCol w:w="2938"/>
      </w:tblGrid>
      <w:tr w14:paraId="2AD8D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2" w:type="dxa"/>
            <w:shd w:val="clear" w:color="auto" w:fill="4472C4"/>
            <w:vAlign w:val="center"/>
          </w:tcPr>
          <w:p w14:paraId="0BF91208">
            <w:pPr>
              <w:jc w:val="center"/>
            </w:pPr>
            <w:r>
              <w:rPr>
                <w:rFonts w:ascii="黑体" w:hAnsi="黑体" w:eastAsia="黑体"/>
                <w:b/>
                <w:color w:val="FFFFFF"/>
                <w:sz w:val="21"/>
              </w:rPr>
              <w:t>序号</w:t>
            </w:r>
          </w:p>
        </w:tc>
        <w:tc>
          <w:tcPr>
            <w:tcW w:w="4415" w:type="dxa"/>
            <w:shd w:val="clear" w:color="auto" w:fill="4472C4"/>
            <w:vAlign w:val="center"/>
          </w:tcPr>
          <w:p w14:paraId="17CA9ACD">
            <w:pPr>
              <w:jc w:val="center"/>
            </w:pPr>
            <w:r>
              <w:rPr>
                <w:rFonts w:ascii="黑体" w:hAnsi="黑体" w:eastAsia="黑体"/>
                <w:b/>
                <w:color w:val="FFFFFF"/>
                <w:sz w:val="21"/>
              </w:rPr>
              <w:t>表名</w:t>
            </w:r>
          </w:p>
        </w:tc>
        <w:tc>
          <w:tcPr>
            <w:tcW w:w="837" w:type="dxa"/>
            <w:shd w:val="clear" w:color="auto" w:fill="4472C4"/>
            <w:vAlign w:val="center"/>
          </w:tcPr>
          <w:p w14:paraId="3B1AC27C">
            <w:pPr>
              <w:jc w:val="center"/>
            </w:pPr>
            <w:r>
              <w:rPr>
                <w:rFonts w:ascii="黑体" w:hAnsi="黑体" w:eastAsia="黑体"/>
                <w:b/>
                <w:color w:val="FFFFFF"/>
                <w:sz w:val="21"/>
              </w:rPr>
              <w:t>表号</w:t>
            </w:r>
          </w:p>
        </w:tc>
        <w:tc>
          <w:tcPr>
            <w:tcW w:w="2938" w:type="dxa"/>
            <w:shd w:val="clear" w:color="auto" w:fill="4472C4"/>
            <w:vAlign w:val="center"/>
          </w:tcPr>
          <w:p w14:paraId="448D9AF4">
            <w:pPr>
              <w:jc w:val="center"/>
            </w:pPr>
            <w:r>
              <w:rPr>
                <w:rFonts w:ascii="黑体" w:hAnsi="黑体" w:eastAsia="黑体"/>
                <w:b/>
                <w:color w:val="FFFFFF"/>
                <w:sz w:val="21"/>
              </w:rPr>
              <w:t>备注</w:t>
            </w:r>
          </w:p>
        </w:tc>
      </w:tr>
      <w:tr w14:paraId="51596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2" w:type="dxa"/>
            <w:vAlign w:val="center"/>
          </w:tcPr>
          <w:p w14:paraId="1461A6D3">
            <w:pPr>
              <w:jc w:val="center"/>
            </w:pPr>
            <w:r>
              <w:rPr>
                <w:rFonts w:ascii="宋体" w:hAnsi="宋体" w:eastAsia="宋体"/>
                <w:b w:val="0"/>
                <w:sz w:val="21"/>
              </w:rPr>
              <w:t>1</w:t>
            </w:r>
          </w:p>
        </w:tc>
        <w:tc>
          <w:tcPr>
            <w:tcW w:w="4415" w:type="dxa"/>
            <w:vAlign w:val="center"/>
          </w:tcPr>
          <w:p w14:paraId="40780DAA">
            <w:pPr>
              <w:jc w:val="center"/>
            </w:pPr>
            <w:r>
              <w:rPr>
                <w:rFonts w:ascii="宋体" w:hAnsi="宋体" w:eastAsia="宋体"/>
                <w:b w:val="0"/>
                <w:sz w:val="21"/>
              </w:rPr>
              <w:t>法定代表人授权书(格式)</w:t>
            </w:r>
          </w:p>
        </w:tc>
        <w:tc>
          <w:tcPr>
            <w:tcW w:w="837" w:type="dxa"/>
            <w:vAlign w:val="center"/>
          </w:tcPr>
          <w:p w14:paraId="6248069B">
            <w:pPr>
              <w:jc w:val="center"/>
            </w:pPr>
            <w:r>
              <w:rPr>
                <w:rFonts w:ascii="宋体" w:hAnsi="宋体" w:eastAsia="宋体"/>
                <w:b w:val="0"/>
                <w:sz w:val="21"/>
              </w:rPr>
              <w:t>表1</w:t>
            </w:r>
          </w:p>
        </w:tc>
        <w:tc>
          <w:tcPr>
            <w:tcW w:w="2938" w:type="dxa"/>
            <w:vAlign w:val="center"/>
          </w:tcPr>
          <w:p w14:paraId="0F0A2DCD">
            <w:pPr>
              <w:jc w:val="center"/>
            </w:pPr>
            <w:r>
              <w:rPr>
                <w:rFonts w:ascii="宋体" w:hAnsi="宋体" w:eastAsia="宋体"/>
                <w:b w:val="0"/>
                <w:sz w:val="21"/>
              </w:rPr>
              <w:t>强制性资格文件</w:t>
            </w:r>
          </w:p>
        </w:tc>
      </w:tr>
      <w:tr w14:paraId="2E99C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2" w:type="dxa"/>
            <w:vAlign w:val="center"/>
          </w:tcPr>
          <w:p w14:paraId="5C3C4784">
            <w:pPr>
              <w:jc w:val="center"/>
            </w:pPr>
            <w:r>
              <w:rPr>
                <w:rFonts w:ascii="宋体" w:hAnsi="宋体" w:eastAsia="宋体"/>
                <w:b w:val="0"/>
                <w:sz w:val="21"/>
              </w:rPr>
              <w:t>2</w:t>
            </w:r>
          </w:p>
        </w:tc>
        <w:tc>
          <w:tcPr>
            <w:tcW w:w="4415" w:type="dxa"/>
            <w:vAlign w:val="center"/>
          </w:tcPr>
          <w:p w14:paraId="091F6C7F">
            <w:pPr>
              <w:jc w:val="center"/>
            </w:pPr>
            <w:r>
              <w:rPr>
                <w:rFonts w:ascii="宋体" w:hAnsi="宋体" w:eastAsia="宋体"/>
                <w:b w:val="0"/>
                <w:sz w:val="21"/>
              </w:rPr>
              <w:t>近三年中无处于被责令停业、财产被接管、冻结、破产状态或近三年内在经营活动中没有重大违法记录的承诺书（格式）</w:t>
            </w:r>
          </w:p>
        </w:tc>
        <w:tc>
          <w:tcPr>
            <w:tcW w:w="837" w:type="dxa"/>
            <w:vAlign w:val="center"/>
          </w:tcPr>
          <w:p w14:paraId="631FC1C7">
            <w:pPr>
              <w:jc w:val="center"/>
            </w:pPr>
            <w:r>
              <w:rPr>
                <w:rFonts w:ascii="宋体" w:hAnsi="宋体" w:eastAsia="宋体"/>
                <w:b w:val="0"/>
                <w:sz w:val="21"/>
              </w:rPr>
              <w:t>表2</w:t>
            </w:r>
          </w:p>
        </w:tc>
        <w:tc>
          <w:tcPr>
            <w:tcW w:w="2938" w:type="dxa"/>
            <w:vAlign w:val="center"/>
          </w:tcPr>
          <w:p w14:paraId="2B492A27">
            <w:pPr>
              <w:jc w:val="center"/>
            </w:pPr>
            <w:r>
              <w:rPr>
                <w:rFonts w:ascii="宋体" w:hAnsi="宋体" w:eastAsia="宋体"/>
                <w:b w:val="0"/>
                <w:sz w:val="21"/>
              </w:rPr>
              <w:t>强制性资格文件</w:t>
            </w:r>
          </w:p>
        </w:tc>
      </w:tr>
      <w:tr w14:paraId="0E1C5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2" w:type="dxa"/>
            <w:vAlign w:val="center"/>
          </w:tcPr>
          <w:p w14:paraId="5FDC261B">
            <w:pPr>
              <w:jc w:val="center"/>
            </w:pPr>
            <w:r>
              <w:rPr>
                <w:rFonts w:ascii="宋体" w:hAnsi="宋体" w:eastAsia="宋体"/>
                <w:b w:val="0"/>
                <w:sz w:val="21"/>
              </w:rPr>
              <w:t>3</w:t>
            </w:r>
          </w:p>
        </w:tc>
        <w:tc>
          <w:tcPr>
            <w:tcW w:w="4415" w:type="dxa"/>
            <w:vAlign w:val="center"/>
          </w:tcPr>
          <w:p w14:paraId="06832A6A">
            <w:pPr>
              <w:jc w:val="center"/>
            </w:pPr>
            <w:r>
              <w:rPr>
                <w:rFonts w:ascii="宋体" w:hAnsi="宋体" w:eastAsia="宋体"/>
                <w:b w:val="0"/>
                <w:sz w:val="21"/>
              </w:rPr>
              <w:t>营业执照副本复印件</w:t>
            </w:r>
          </w:p>
        </w:tc>
        <w:tc>
          <w:tcPr>
            <w:tcW w:w="837" w:type="dxa"/>
            <w:vAlign w:val="center"/>
          </w:tcPr>
          <w:p w14:paraId="661C130C">
            <w:pPr>
              <w:jc w:val="center"/>
            </w:pPr>
            <w:r>
              <w:rPr>
                <w:rFonts w:ascii="宋体" w:hAnsi="宋体" w:eastAsia="宋体"/>
                <w:b w:val="0"/>
                <w:sz w:val="21"/>
              </w:rPr>
              <w:t>表3</w:t>
            </w:r>
          </w:p>
        </w:tc>
        <w:tc>
          <w:tcPr>
            <w:tcW w:w="2938" w:type="dxa"/>
            <w:vAlign w:val="center"/>
          </w:tcPr>
          <w:p w14:paraId="4FA8065A">
            <w:pPr>
              <w:jc w:val="center"/>
            </w:pPr>
            <w:r>
              <w:rPr>
                <w:rFonts w:ascii="宋体" w:hAnsi="宋体" w:eastAsia="宋体"/>
                <w:b w:val="0"/>
                <w:sz w:val="21"/>
              </w:rPr>
              <w:t>成立年限三年（含）以上</w:t>
            </w:r>
          </w:p>
        </w:tc>
      </w:tr>
      <w:tr w14:paraId="38C62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2" w:type="dxa"/>
            <w:vAlign w:val="center"/>
          </w:tcPr>
          <w:p w14:paraId="5110D26F">
            <w:pPr>
              <w:jc w:val="center"/>
            </w:pPr>
            <w:r>
              <w:rPr>
                <w:rFonts w:ascii="宋体" w:hAnsi="宋体" w:eastAsia="宋体"/>
                <w:b w:val="0"/>
                <w:sz w:val="21"/>
              </w:rPr>
              <w:t>4</w:t>
            </w:r>
          </w:p>
        </w:tc>
        <w:tc>
          <w:tcPr>
            <w:tcW w:w="4415" w:type="dxa"/>
            <w:vAlign w:val="center"/>
          </w:tcPr>
          <w:p w14:paraId="33B06B93">
            <w:pPr>
              <w:jc w:val="center"/>
            </w:pPr>
            <w:r>
              <w:rPr>
                <w:rFonts w:ascii="宋体" w:hAnsi="宋体" w:eastAsia="宋体"/>
                <w:b w:val="0"/>
                <w:sz w:val="21"/>
              </w:rPr>
              <w:t>国家企业信用信息公示系统上信用信息公示报告</w:t>
            </w:r>
          </w:p>
        </w:tc>
        <w:tc>
          <w:tcPr>
            <w:tcW w:w="837" w:type="dxa"/>
            <w:vAlign w:val="center"/>
          </w:tcPr>
          <w:p w14:paraId="42C80B7F">
            <w:pPr>
              <w:jc w:val="center"/>
            </w:pPr>
            <w:r>
              <w:rPr>
                <w:rFonts w:ascii="宋体" w:hAnsi="宋体" w:eastAsia="宋体"/>
                <w:b w:val="0"/>
                <w:sz w:val="21"/>
              </w:rPr>
              <w:t>表4</w:t>
            </w:r>
          </w:p>
        </w:tc>
        <w:tc>
          <w:tcPr>
            <w:tcW w:w="2938" w:type="dxa"/>
            <w:vAlign w:val="center"/>
          </w:tcPr>
          <w:p w14:paraId="63FD7584">
            <w:pPr>
              <w:jc w:val="center"/>
            </w:pPr>
            <w:r>
              <w:rPr>
                <w:rFonts w:ascii="宋体" w:hAnsi="宋体" w:eastAsia="宋体"/>
                <w:b w:val="0"/>
                <w:sz w:val="21"/>
              </w:rPr>
              <w:t>强制性资格文件</w:t>
            </w:r>
          </w:p>
        </w:tc>
      </w:tr>
      <w:tr w14:paraId="3BF6B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2" w:type="dxa"/>
            <w:vAlign w:val="center"/>
          </w:tcPr>
          <w:p w14:paraId="289C4499">
            <w:pPr>
              <w:jc w:val="center"/>
            </w:pPr>
            <w:r>
              <w:rPr>
                <w:rFonts w:ascii="宋体" w:hAnsi="宋体" w:eastAsia="宋体"/>
                <w:b w:val="0"/>
                <w:sz w:val="21"/>
              </w:rPr>
              <w:t>5</w:t>
            </w:r>
          </w:p>
        </w:tc>
        <w:tc>
          <w:tcPr>
            <w:tcW w:w="4415" w:type="dxa"/>
            <w:vAlign w:val="center"/>
          </w:tcPr>
          <w:p w14:paraId="450CB209">
            <w:pPr>
              <w:jc w:val="center"/>
            </w:pPr>
            <w:r>
              <w:rPr>
                <w:rFonts w:ascii="宋体" w:hAnsi="宋体" w:eastAsia="宋体"/>
                <w:b w:val="0"/>
                <w:sz w:val="21"/>
              </w:rPr>
              <w:t>旅行社业务经营许可证复印件</w:t>
            </w:r>
          </w:p>
        </w:tc>
        <w:tc>
          <w:tcPr>
            <w:tcW w:w="837" w:type="dxa"/>
            <w:vAlign w:val="center"/>
          </w:tcPr>
          <w:p w14:paraId="05482F12">
            <w:pPr>
              <w:jc w:val="center"/>
            </w:pPr>
            <w:r>
              <w:rPr>
                <w:rFonts w:ascii="宋体" w:hAnsi="宋体" w:eastAsia="宋体"/>
                <w:b w:val="0"/>
                <w:sz w:val="21"/>
              </w:rPr>
              <w:t>表5</w:t>
            </w:r>
          </w:p>
        </w:tc>
        <w:tc>
          <w:tcPr>
            <w:tcW w:w="2938" w:type="dxa"/>
            <w:vAlign w:val="center"/>
          </w:tcPr>
          <w:p w14:paraId="280CC14E">
            <w:pPr>
              <w:jc w:val="center"/>
            </w:pPr>
            <w:r>
              <w:rPr>
                <w:rFonts w:ascii="宋体" w:hAnsi="宋体" w:eastAsia="宋体"/>
                <w:b w:val="0"/>
                <w:sz w:val="21"/>
              </w:rPr>
              <w:t>特定资格（须提供）</w:t>
            </w:r>
          </w:p>
        </w:tc>
      </w:tr>
      <w:tr w14:paraId="3B3DC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2" w:type="dxa"/>
            <w:vAlign w:val="center"/>
          </w:tcPr>
          <w:p w14:paraId="6B2F9462">
            <w:pPr>
              <w:jc w:val="center"/>
              <w:rPr>
                <w:rFonts w:hint="default" w:ascii="宋体" w:hAnsi="宋体" w:eastAsia="宋体"/>
                <w:b w:val="0"/>
                <w:sz w:val="21"/>
                <w:lang w:val="en-US" w:eastAsia="zh-CN"/>
              </w:rPr>
            </w:pPr>
            <w:r>
              <w:rPr>
                <w:rFonts w:hint="default"/>
                <w:b w:val="0"/>
                <w:sz w:val="21"/>
                <w:lang w:val="en-US" w:eastAsia="zh-CN"/>
              </w:rPr>
              <w:t>6</w:t>
            </w:r>
          </w:p>
        </w:tc>
        <w:tc>
          <w:tcPr>
            <w:tcW w:w="4415" w:type="dxa"/>
            <w:shd w:val="clear" w:color="auto" w:fill="auto"/>
            <w:vAlign w:val="top"/>
          </w:tcPr>
          <w:p w14:paraId="16BC09E2">
            <w:pPr>
              <w:spacing w:line="240" w:lineRule="auto"/>
              <w:jc w:val="center"/>
              <w:rPr>
                <w:rFonts w:hint="default" w:ascii="宋体" w:hAnsi="宋体" w:eastAsia="宋体" w:cs="Times New Roman"/>
                <w:color w:val="auto"/>
                <w:sz w:val="21"/>
                <w:szCs w:val="22"/>
                <w:lang w:val="en-US" w:eastAsia="zh-CN" w:bidi="ar-SA"/>
              </w:rPr>
            </w:pPr>
            <w:r>
              <w:rPr>
                <w:rFonts w:hint="default" w:ascii="宋体" w:hAnsi="宋体" w:cs="Times New Roman"/>
                <w:color w:val="auto"/>
                <w:sz w:val="21"/>
                <w:lang w:val="en-US" w:eastAsia="zh-CN"/>
              </w:rPr>
              <w:t>无关联关系承诺函</w:t>
            </w:r>
          </w:p>
        </w:tc>
        <w:tc>
          <w:tcPr>
            <w:tcW w:w="837" w:type="dxa"/>
            <w:shd w:val="clear" w:color="auto" w:fill="auto"/>
            <w:vAlign w:val="center"/>
          </w:tcPr>
          <w:p w14:paraId="3F1AF704">
            <w:pPr>
              <w:spacing w:line="240" w:lineRule="auto"/>
              <w:jc w:val="center"/>
              <w:rPr>
                <w:rFonts w:hint="default" w:ascii="宋体" w:hAnsi="宋体" w:eastAsia="宋体" w:cs="Times New Roman"/>
                <w:color w:val="auto"/>
                <w:sz w:val="21"/>
                <w:szCs w:val="22"/>
                <w:lang w:val="en-US" w:eastAsia="zh-CN" w:bidi="ar-SA"/>
              </w:rPr>
            </w:pPr>
            <w:r>
              <w:rPr>
                <w:rFonts w:hint="default" w:ascii="宋体" w:hAnsi="宋体" w:cs="Times New Roman"/>
                <w:color w:val="auto"/>
                <w:sz w:val="21"/>
                <w:lang w:val="en-US" w:eastAsia="zh-CN"/>
              </w:rPr>
              <w:t>表</w:t>
            </w:r>
            <w:r>
              <w:rPr>
                <w:rFonts w:hint="eastAsia" w:ascii="宋体" w:hAnsi="宋体" w:eastAsia="宋体" w:cs="Times New Roman"/>
                <w:sz w:val="21"/>
                <w:lang w:val="en-US" w:eastAsia="zh-CN"/>
              </w:rPr>
              <w:t>6</w:t>
            </w:r>
          </w:p>
        </w:tc>
        <w:tc>
          <w:tcPr>
            <w:tcW w:w="2938" w:type="dxa"/>
            <w:vAlign w:val="center"/>
          </w:tcPr>
          <w:p w14:paraId="13C3C7E3">
            <w:pPr>
              <w:jc w:val="center"/>
              <w:rPr>
                <w:rFonts w:ascii="宋体" w:hAnsi="宋体" w:eastAsia="宋体"/>
                <w:b w:val="0"/>
                <w:sz w:val="21"/>
              </w:rPr>
            </w:pPr>
            <w:r>
              <w:rPr>
                <w:rFonts w:ascii="宋体" w:hAnsi="宋体" w:eastAsia="宋体"/>
                <w:b w:val="0"/>
                <w:sz w:val="21"/>
              </w:rPr>
              <w:t>强制性资格文件</w:t>
            </w:r>
          </w:p>
        </w:tc>
      </w:tr>
      <w:tr w14:paraId="36165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2" w:type="dxa"/>
            <w:vAlign w:val="center"/>
          </w:tcPr>
          <w:p w14:paraId="3F045086">
            <w:pPr>
              <w:jc w:val="center"/>
              <w:rPr>
                <w:rFonts w:hint="eastAsia" w:ascii="宋体" w:hAnsi="宋体" w:eastAsia="宋体"/>
                <w:b w:val="0"/>
                <w:sz w:val="21"/>
                <w:lang w:val="en-US" w:eastAsia="zh-CN"/>
              </w:rPr>
            </w:pPr>
            <w:r>
              <w:rPr>
                <w:rFonts w:hint="eastAsia"/>
                <w:b w:val="0"/>
                <w:sz w:val="21"/>
                <w:lang w:val="en-US" w:eastAsia="zh-CN"/>
              </w:rPr>
              <w:t>7</w:t>
            </w:r>
          </w:p>
        </w:tc>
        <w:tc>
          <w:tcPr>
            <w:tcW w:w="4415" w:type="dxa"/>
            <w:vAlign w:val="center"/>
          </w:tcPr>
          <w:p w14:paraId="57857858">
            <w:pPr>
              <w:spacing w:line="240" w:lineRule="auto"/>
              <w:jc w:val="center"/>
              <w:rPr>
                <w:rFonts w:ascii="宋体" w:hAnsi="宋体" w:eastAsia="宋体"/>
                <w:b w:val="0"/>
                <w:sz w:val="21"/>
              </w:rPr>
            </w:pPr>
            <w:r>
              <w:rPr>
                <w:rFonts w:ascii="宋体" w:hAnsi="宋体" w:eastAsia="宋体"/>
                <w:b w:val="0"/>
                <w:sz w:val="21"/>
                <w:lang w:eastAsia="zh-CN"/>
              </w:rPr>
              <w:t>近三年类似</w:t>
            </w:r>
            <w:r>
              <w:rPr>
                <w:rFonts w:hint="eastAsia"/>
                <w:b w:val="0"/>
                <w:sz w:val="21"/>
                <w:lang w:eastAsia="zh-CN"/>
              </w:rPr>
              <w:t>研修</w:t>
            </w:r>
            <w:r>
              <w:rPr>
                <w:rFonts w:ascii="宋体" w:hAnsi="宋体" w:eastAsia="宋体"/>
                <w:b w:val="0"/>
                <w:sz w:val="21"/>
                <w:lang w:eastAsia="zh-CN"/>
              </w:rPr>
              <w:t>项目业绩一览表</w:t>
            </w:r>
          </w:p>
        </w:tc>
        <w:tc>
          <w:tcPr>
            <w:tcW w:w="837" w:type="dxa"/>
            <w:vAlign w:val="center"/>
          </w:tcPr>
          <w:p w14:paraId="47386A7E">
            <w:pPr>
              <w:jc w:val="center"/>
              <w:rPr>
                <w:rFonts w:hint="default" w:ascii="宋体" w:hAnsi="宋体" w:eastAsia="宋体"/>
                <w:b w:val="0"/>
                <w:sz w:val="21"/>
                <w:lang w:val="en-US" w:eastAsia="zh-CN"/>
              </w:rPr>
            </w:pPr>
            <w:r>
              <w:rPr>
                <w:rFonts w:hint="eastAsia"/>
                <w:b w:val="0"/>
                <w:sz w:val="21"/>
                <w:lang w:val="en-US" w:eastAsia="zh-CN"/>
              </w:rPr>
              <w:t>表7</w:t>
            </w:r>
          </w:p>
        </w:tc>
        <w:tc>
          <w:tcPr>
            <w:tcW w:w="2938" w:type="dxa"/>
            <w:vAlign w:val="center"/>
          </w:tcPr>
          <w:p w14:paraId="1B9D5282">
            <w:pPr>
              <w:jc w:val="center"/>
              <w:rPr>
                <w:rFonts w:ascii="宋体" w:hAnsi="宋体" w:eastAsia="宋体"/>
                <w:b w:val="0"/>
                <w:sz w:val="21"/>
              </w:rPr>
            </w:pPr>
            <w:r>
              <w:rPr>
                <w:rFonts w:ascii="宋体" w:hAnsi="宋体" w:eastAsia="宋体"/>
                <w:b w:val="0"/>
                <w:sz w:val="21"/>
              </w:rPr>
              <w:t>强制性资格文件</w:t>
            </w:r>
          </w:p>
        </w:tc>
      </w:tr>
      <w:tr w14:paraId="29BF4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2" w:type="dxa"/>
            <w:vAlign w:val="center"/>
          </w:tcPr>
          <w:p w14:paraId="2668790E">
            <w:pPr>
              <w:jc w:val="center"/>
              <w:rPr>
                <w:rFonts w:hint="eastAsia" w:ascii="宋体" w:hAnsi="宋体" w:eastAsia="宋体"/>
                <w:b w:val="0"/>
                <w:sz w:val="21"/>
                <w:lang w:val="en-US" w:eastAsia="zh-CN"/>
              </w:rPr>
            </w:pPr>
            <w:r>
              <w:rPr>
                <w:rFonts w:hint="eastAsia"/>
                <w:b w:val="0"/>
                <w:sz w:val="21"/>
                <w:lang w:val="en-US" w:eastAsia="zh-CN"/>
              </w:rPr>
              <w:t>8</w:t>
            </w:r>
          </w:p>
        </w:tc>
        <w:tc>
          <w:tcPr>
            <w:tcW w:w="4415" w:type="dxa"/>
            <w:vAlign w:val="center"/>
          </w:tcPr>
          <w:p w14:paraId="44E1F15E">
            <w:pPr>
              <w:jc w:val="center"/>
              <w:rPr>
                <w:rFonts w:ascii="宋体" w:hAnsi="宋体" w:eastAsia="宋体"/>
                <w:b w:val="0"/>
                <w:sz w:val="21"/>
              </w:rPr>
            </w:pPr>
            <w:r>
              <w:rPr>
                <w:rFonts w:hint="eastAsia" w:ascii="宋体" w:hAnsi="宋体" w:eastAsia="宋体"/>
                <w:b w:val="0"/>
                <w:sz w:val="21"/>
              </w:rPr>
              <w:t>其他应比选人要求提供的证明材料</w:t>
            </w:r>
          </w:p>
        </w:tc>
        <w:tc>
          <w:tcPr>
            <w:tcW w:w="837" w:type="dxa"/>
            <w:vAlign w:val="center"/>
          </w:tcPr>
          <w:p w14:paraId="0D469DFA">
            <w:pPr>
              <w:ind w:firstLine="210" w:firstLineChars="100"/>
              <w:jc w:val="both"/>
              <w:rPr>
                <w:rFonts w:hint="default" w:ascii="宋体" w:hAnsi="宋体" w:eastAsia="宋体"/>
                <w:b w:val="0"/>
                <w:sz w:val="21"/>
                <w:lang w:val="en-US" w:eastAsia="zh-CN"/>
              </w:rPr>
            </w:pPr>
            <w:r>
              <w:rPr>
                <w:rFonts w:hint="eastAsia"/>
                <w:b w:val="0"/>
                <w:sz w:val="21"/>
                <w:lang w:val="en-US" w:eastAsia="zh-CN"/>
              </w:rPr>
              <w:t>表8</w:t>
            </w:r>
          </w:p>
        </w:tc>
        <w:tc>
          <w:tcPr>
            <w:tcW w:w="2938" w:type="dxa"/>
            <w:vAlign w:val="center"/>
          </w:tcPr>
          <w:p w14:paraId="6C4ECD0A">
            <w:pPr>
              <w:jc w:val="center"/>
              <w:rPr>
                <w:rFonts w:hint="default" w:ascii="宋体" w:hAnsi="宋体" w:eastAsia="宋体"/>
                <w:b w:val="0"/>
                <w:sz w:val="21"/>
                <w:lang w:val="en-US" w:eastAsia="zh-CN"/>
              </w:rPr>
            </w:pPr>
            <w:r>
              <w:rPr>
                <w:rFonts w:hint="eastAsia"/>
                <w:b w:val="0"/>
                <w:sz w:val="21"/>
                <w:lang w:val="en-US" w:eastAsia="zh-CN"/>
              </w:rPr>
              <w:t>其他应</w:t>
            </w:r>
            <w:r>
              <w:rPr>
                <w:rFonts w:hint="eastAsia" w:ascii="宋体" w:hAnsi="宋体" w:eastAsia="宋体"/>
                <w:b w:val="0"/>
                <w:sz w:val="21"/>
              </w:rPr>
              <w:t>比选人要求提供</w:t>
            </w:r>
          </w:p>
        </w:tc>
      </w:tr>
    </w:tbl>
    <w:p w14:paraId="6BB2EC7D">
      <w:r>
        <w:br w:type="page"/>
      </w:r>
    </w:p>
    <w:p w14:paraId="0BFAE4C5">
      <w:pPr>
        <w:jc w:val="left"/>
      </w:pPr>
      <w:r>
        <w:rPr>
          <w:rFonts w:ascii="黑体" w:hAnsi="黑体" w:eastAsia="黑体"/>
          <w:b/>
          <w:sz w:val="28"/>
        </w:rPr>
        <w:t>表1  法定代表人授权书(格式)</w:t>
      </w:r>
    </w:p>
    <w:p w14:paraId="6BA1D374">
      <w:pPr>
        <w:spacing w:after="80" w:line="400" w:lineRule="exact"/>
        <w:ind w:firstLine="420"/>
      </w:pPr>
      <w:r>
        <w:rPr>
          <w:rFonts w:ascii="宋体" w:hAnsi="宋体" w:eastAsia="宋体"/>
          <w:b w:val="0"/>
          <w:sz w:val="24"/>
        </w:rPr>
        <w:t>本授权书声明：注册于（国家或地区的名称）的（公司名称）的在下面签字的（法人代表姓名、职务）代表本公司授权（单位名称）的在下面签字的（被授权人的姓名、职务）为本公司的合法代理人，就（项目名称）投标，以本公司名义处理一切与之有关的事务。</w:t>
      </w:r>
    </w:p>
    <w:p w14:paraId="3F531834">
      <w:pPr>
        <w:spacing w:after="80" w:line="400" w:lineRule="exact"/>
        <w:ind w:firstLine="420"/>
      </w:pPr>
      <w:r>
        <w:rPr>
          <w:rFonts w:ascii="宋体" w:hAnsi="宋体" w:eastAsia="宋体"/>
          <w:b w:val="0"/>
          <w:sz w:val="24"/>
        </w:rPr>
        <w:t>本授权书于__________年_____月______日签字（盖章）生效,特此声明。</w:t>
      </w:r>
    </w:p>
    <w:p w14:paraId="0095CF17"/>
    <w:p w14:paraId="0D778CD7">
      <w:pPr>
        <w:spacing w:after="80" w:line="400" w:lineRule="exact"/>
      </w:pPr>
      <w:r>
        <w:rPr>
          <w:rFonts w:ascii="宋体" w:hAnsi="宋体" w:eastAsia="宋体"/>
          <w:b w:val="0"/>
          <w:sz w:val="24"/>
        </w:rPr>
        <w:t>法定代表人签字（或盖章）-----------------</w:t>
      </w:r>
    </w:p>
    <w:p w14:paraId="77B27363">
      <w:pPr>
        <w:spacing w:after="80" w:line="400" w:lineRule="exact"/>
      </w:pPr>
      <w:r>
        <w:rPr>
          <w:rFonts w:ascii="宋体" w:hAnsi="宋体" w:eastAsia="宋体"/>
          <w:b w:val="0"/>
          <w:sz w:val="24"/>
        </w:rPr>
        <w:t>被授权人签字-----------------</w:t>
      </w:r>
    </w:p>
    <w:p w14:paraId="02A2F8B8">
      <w:pPr>
        <w:spacing w:after="80" w:line="400" w:lineRule="exact"/>
      </w:pPr>
      <w:r>
        <w:rPr>
          <w:rFonts w:ascii="宋体" w:hAnsi="宋体" w:eastAsia="宋体"/>
          <w:b w:val="0"/>
          <w:sz w:val="24"/>
        </w:rPr>
        <w:t>公司盖本单位公章：</w:t>
      </w:r>
    </w:p>
    <w:p w14:paraId="1727AC92"/>
    <w:p w14:paraId="02504A11">
      <w:pPr>
        <w:spacing w:after="80" w:line="400" w:lineRule="exact"/>
      </w:pPr>
      <w:r>
        <w:rPr>
          <w:rFonts w:ascii="宋体" w:hAnsi="宋体" w:eastAsia="宋体"/>
          <w:b w:val="0"/>
          <w:sz w:val="24"/>
        </w:rPr>
        <w:t>被授权人姓名：</w:t>
      </w:r>
    </w:p>
    <w:p w14:paraId="750DD637">
      <w:pPr>
        <w:spacing w:after="80" w:line="400" w:lineRule="exact"/>
      </w:pPr>
      <w:r>
        <w:rPr>
          <w:rFonts w:ascii="宋体" w:hAnsi="宋体" w:eastAsia="宋体"/>
          <w:b w:val="0"/>
          <w:sz w:val="24"/>
        </w:rPr>
        <w:t>身份证号码：</w:t>
      </w:r>
    </w:p>
    <w:p w14:paraId="4048C38C">
      <w:pPr>
        <w:spacing w:after="80" w:line="400" w:lineRule="exact"/>
      </w:pPr>
      <w:r>
        <w:rPr>
          <w:rFonts w:ascii="宋体" w:hAnsi="宋体" w:eastAsia="宋体"/>
          <w:b w:val="0"/>
          <w:sz w:val="24"/>
        </w:rPr>
        <w:t>职务：</w:t>
      </w:r>
    </w:p>
    <w:p w14:paraId="68F95475">
      <w:pPr>
        <w:spacing w:after="80" w:line="400" w:lineRule="exact"/>
      </w:pPr>
      <w:r>
        <w:rPr>
          <w:rFonts w:ascii="宋体" w:hAnsi="宋体" w:eastAsia="宋体"/>
          <w:b w:val="0"/>
          <w:sz w:val="24"/>
        </w:rPr>
        <w:t>详细通讯地址：</w:t>
      </w:r>
    </w:p>
    <w:p w14:paraId="1B4C7B5C">
      <w:pPr>
        <w:spacing w:after="80" w:line="400" w:lineRule="exact"/>
      </w:pPr>
      <w:r>
        <w:rPr>
          <w:rFonts w:ascii="宋体" w:hAnsi="宋体" w:eastAsia="宋体"/>
          <w:b w:val="0"/>
          <w:sz w:val="24"/>
        </w:rPr>
        <w:t>邮政编码：</w:t>
      </w:r>
    </w:p>
    <w:p w14:paraId="1F100BFE">
      <w:pPr>
        <w:spacing w:after="80" w:line="400" w:lineRule="exact"/>
      </w:pPr>
      <w:r>
        <w:rPr>
          <w:rFonts w:ascii="宋体" w:hAnsi="宋体" w:eastAsia="宋体"/>
          <w:b w:val="0"/>
          <w:sz w:val="24"/>
        </w:rPr>
        <w:t>传真：</w:t>
      </w:r>
    </w:p>
    <w:p w14:paraId="3F0AB9B0">
      <w:pPr>
        <w:spacing w:after="80" w:line="400" w:lineRule="exact"/>
      </w:pPr>
      <w:r>
        <w:rPr>
          <w:rFonts w:ascii="宋体" w:hAnsi="宋体" w:eastAsia="宋体"/>
          <w:b w:val="0"/>
          <w:sz w:val="24"/>
        </w:rPr>
        <w:t>电话：</w:t>
      </w:r>
    </w:p>
    <w:p w14:paraId="2470E0EB">
      <w:pPr>
        <w:spacing w:after="80" w:line="400" w:lineRule="exact"/>
        <w:ind w:firstLine="420"/>
      </w:pPr>
      <w:r>
        <w:rPr>
          <w:rFonts w:ascii="宋体" w:hAnsi="宋体" w:eastAsia="宋体"/>
          <w:b w:val="0"/>
          <w:sz w:val="24"/>
        </w:rPr>
        <w:t>附：法定代表人身份证复印件、被授权人身份证复印件</w:t>
      </w:r>
    </w:p>
    <w:p w14:paraId="37AAD07A">
      <w:r>
        <w:br w:type="page"/>
      </w:r>
    </w:p>
    <w:p w14:paraId="72C89B0D">
      <w:pPr>
        <w:jc w:val="left"/>
      </w:pPr>
      <w:r>
        <w:rPr>
          <w:rFonts w:ascii="黑体" w:hAnsi="黑体" w:eastAsia="黑体"/>
          <w:b/>
          <w:sz w:val="28"/>
        </w:rPr>
        <w:t>表2  近三年中无处于被责令停业、财产被接管、冻结、破产状态或近三年内在经营活动中没有重大违法记录的承诺书（格式）</w:t>
      </w:r>
    </w:p>
    <w:p w14:paraId="713EC62F">
      <w:pPr>
        <w:spacing w:after="80" w:line="400" w:lineRule="exact"/>
        <w:ind w:firstLine="420"/>
      </w:pPr>
      <w:r>
        <w:rPr>
          <w:rFonts w:ascii="宋体" w:hAnsi="宋体" w:eastAsia="宋体"/>
          <w:b w:val="0"/>
          <w:sz w:val="24"/>
        </w:rPr>
        <w:t>致：    (招标人)</w:t>
      </w:r>
    </w:p>
    <w:p w14:paraId="04D7F3DB">
      <w:pPr>
        <w:spacing w:after="80" w:line="400" w:lineRule="exact"/>
        <w:ind w:firstLine="420"/>
      </w:pPr>
      <w:r>
        <w:rPr>
          <w:rFonts w:ascii="宋体" w:hAnsi="宋体" w:eastAsia="宋体"/>
          <w:b w:val="0"/>
          <w:sz w:val="24"/>
        </w:rPr>
        <w:t>我公司郑重承诺：</w:t>
      </w:r>
    </w:p>
    <w:p w14:paraId="641FF146">
      <w:pPr>
        <w:spacing w:after="80" w:line="400" w:lineRule="exact"/>
        <w:ind w:firstLine="420"/>
      </w:pPr>
      <w:r>
        <w:rPr>
          <w:rFonts w:ascii="宋体" w:hAnsi="宋体" w:eastAsia="宋体"/>
          <w:b w:val="0"/>
          <w:sz w:val="24"/>
        </w:rPr>
        <w:t>我公司在过去三年中无处于被责令停业、财产被接管、冻结、破产状态或没有出现过违法行为或违法记录。如果在          项目投标过程中或者在中标后，招标人或者有管辖权的行政监管机构发现并查实我公司在过去三年中处于被责令停业、财产被接管、冻结、破产状态或出现过违法行为或违法记录情况，不管招标人或有管辖权的行政监管机构是否有合法的处罚依据，我公司将无条件地自动放弃该项目的投标资格和中标资格；如果我公司已经收到中标通知书，我公司无条件地承认，我公司所收到的该项目中标通知书为无效文件，对招标人不具任何法律约束力；由此造成的任何后果和损失均由我公司承担。</w:t>
      </w:r>
    </w:p>
    <w:p w14:paraId="3BF9DF62">
      <w:pPr>
        <w:spacing w:after="80" w:line="400" w:lineRule="exact"/>
        <w:ind w:firstLine="420"/>
      </w:pPr>
      <w:r>
        <w:rPr>
          <w:rFonts w:ascii="宋体" w:hAnsi="宋体" w:eastAsia="宋体"/>
          <w:b w:val="0"/>
          <w:sz w:val="24"/>
        </w:rPr>
        <w:t>我公司如果在本项目投标文件中提供了虚假材料，在任何时候招标人都有权废除其投标，并可视情况追究我公司责任。</w:t>
      </w:r>
    </w:p>
    <w:p w14:paraId="695A199A">
      <w:pPr>
        <w:spacing w:after="80" w:line="400" w:lineRule="exact"/>
        <w:ind w:firstLine="420"/>
      </w:pPr>
      <w:r>
        <w:rPr>
          <w:rFonts w:ascii="宋体" w:hAnsi="宋体" w:eastAsia="宋体"/>
          <w:b w:val="0"/>
          <w:sz w:val="24"/>
        </w:rPr>
        <w:t>特此承诺！</w:t>
      </w:r>
    </w:p>
    <w:p w14:paraId="0DE4EC18"/>
    <w:p w14:paraId="214D545B">
      <w:pPr>
        <w:spacing w:after="80" w:line="400" w:lineRule="exact"/>
      </w:pPr>
      <w:r>
        <w:rPr>
          <w:rFonts w:ascii="宋体" w:hAnsi="宋体" w:eastAsia="宋体"/>
          <w:b w:val="0"/>
          <w:sz w:val="24"/>
        </w:rPr>
        <w:t>投标人授权代表签字：-----------------</w:t>
      </w:r>
    </w:p>
    <w:p w14:paraId="4016257A">
      <w:pPr>
        <w:spacing w:after="80" w:line="400" w:lineRule="exact"/>
      </w:pPr>
      <w:r>
        <w:rPr>
          <w:rFonts w:ascii="宋体" w:hAnsi="宋体" w:eastAsia="宋体"/>
          <w:b w:val="0"/>
          <w:sz w:val="24"/>
        </w:rPr>
        <w:t>投标人(盖本单位公章): _____________________</w:t>
      </w:r>
    </w:p>
    <w:p w14:paraId="17E12CED">
      <w:r>
        <w:br w:type="page"/>
      </w:r>
    </w:p>
    <w:p w14:paraId="38EA6CC3">
      <w:pPr>
        <w:jc w:val="left"/>
      </w:pPr>
      <w:r>
        <w:rPr>
          <w:rFonts w:ascii="黑体" w:hAnsi="黑体" w:eastAsia="黑体"/>
          <w:b/>
          <w:sz w:val="28"/>
        </w:rPr>
        <w:t>表3  营业执照副本复印件（须加盖本单位公章）</w:t>
      </w:r>
    </w:p>
    <w:p w14:paraId="7A3B9312">
      <w:pPr>
        <w:spacing w:after="80" w:line="400" w:lineRule="exact"/>
        <w:ind w:firstLine="420"/>
      </w:pPr>
      <w:r>
        <w:rPr>
          <w:rFonts w:ascii="宋体" w:hAnsi="宋体" w:eastAsia="宋体"/>
          <w:b w:val="0"/>
          <w:sz w:val="24"/>
        </w:rPr>
        <w:t>（须加盖本单位公章）</w:t>
      </w:r>
    </w:p>
    <w:p w14:paraId="76215E49"/>
    <w:p w14:paraId="466333EE">
      <w:pPr>
        <w:spacing w:after="80" w:line="400" w:lineRule="exact"/>
      </w:pPr>
      <w:r>
        <w:rPr>
          <w:rFonts w:ascii="宋体" w:hAnsi="宋体" w:eastAsia="宋体"/>
          <w:b/>
          <w:sz w:val="24"/>
        </w:rPr>
        <w:t>备注：</w:t>
      </w:r>
    </w:p>
    <w:p w14:paraId="20A225F2">
      <w:pPr>
        <w:spacing w:after="80" w:line="400" w:lineRule="exact"/>
        <w:ind w:firstLine="420"/>
      </w:pPr>
      <w:r>
        <w:rPr>
          <w:rFonts w:ascii="宋体" w:hAnsi="宋体" w:eastAsia="宋体"/>
          <w:b w:val="0"/>
          <w:sz w:val="24"/>
        </w:rPr>
        <w:t>供应商是企业（包括合伙企业）的，应提供其在工商部门注册的有效"企业法人营业执照"或"营业执照"的复印件。</w:t>
      </w:r>
    </w:p>
    <w:p w14:paraId="220D127F">
      <w:r>
        <w:br w:type="page"/>
      </w:r>
    </w:p>
    <w:p w14:paraId="4D5F0B9F">
      <w:pPr>
        <w:jc w:val="left"/>
      </w:pPr>
      <w:r>
        <w:rPr>
          <w:rFonts w:ascii="黑体" w:hAnsi="黑体" w:eastAsia="黑体"/>
          <w:b/>
          <w:sz w:val="28"/>
        </w:rPr>
        <w:t>表4  信用信息公示报告</w:t>
      </w:r>
    </w:p>
    <w:p w14:paraId="0CD2421C">
      <w:pPr>
        <w:spacing w:after="80" w:line="400" w:lineRule="exact"/>
      </w:pPr>
      <w:r>
        <w:rPr>
          <w:rFonts w:ascii="宋体" w:hAnsi="宋体" w:eastAsia="宋体"/>
          <w:b/>
          <w:sz w:val="24"/>
        </w:rPr>
        <w:t>备注：</w:t>
      </w:r>
    </w:p>
    <w:p w14:paraId="1083A348">
      <w:pPr>
        <w:spacing w:after="80" w:line="400" w:lineRule="exact"/>
        <w:ind w:firstLine="420"/>
      </w:pPr>
      <w:r>
        <w:rPr>
          <w:rFonts w:ascii="宋体" w:hAnsi="宋体" w:eastAsia="宋体"/>
          <w:b w:val="0"/>
          <w:sz w:val="24"/>
        </w:rPr>
        <w:t>供应商是企业单位登录"国家企业信用信息公示系统"；供应商是事业单位、民非单位登录"信用中国"，打印信用信息公示报告。</w:t>
      </w:r>
    </w:p>
    <w:p w14:paraId="6B50410B">
      <w:r>
        <w:br w:type="page"/>
      </w:r>
    </w:p>
    <w:p w14:paraId="6753D3AE">
      <w:pPr>
        <w:jc w:val="left"/>
      </w:pPr>
      <w:r>
        <w:rPr>
          <w:rFonts w:ascii="黑体" w:hAnsi="黑体" w:eastAsia="黑体"/>
          <w:b/>
          <w:sz w:val="28"/>
        </w:rPr>
        <w:t>表5  旅行社业务经营许可证复印件（须加盖本单位公章）</w:t>
      </w:r>
    </w:p>
    <w:p w14:paraId="4633E994">
      <w:pPr>
        <w:spacing w:after="80" w:line="400" w:lineRule="exact"/>
        <w:ind w:firstLine="420"/>
      </w:pPr>
      <w:r>
        <w:rPr>
          <w:rFonts w:ascii="宋体" w:hAnsi="宋体" w:eastAsia="宋体"/>
          <w:b w:val="0"/>
          <w:sz w:val="24"/>
        </w:rPr>
        <w:t>（须加盖本单位公章）</w:t>
      </w:r>
    </w:p>
    <w:p w14:paraId="5448AE3A"/>
    <w:p w14:paraId="3EF0CA61">
      <w:pPr>
        <w:spacing w:after="80" w:line="400" w:lineRule="exact"/>
      </w:pPr>
      <w:r>
        <w:rPr>
          <w:rFonts w:ascii="宋体" w:hAnsi="宋体" w:eastAsia="宋体"/>
          <w:b/>
          <w:sz w:val="24"/>
        </w:rPr>
        <w:t>备注：</w:t>
      </w:r>
    </w:p>
    <w:p w14:paraId="6FCF5253">
      <w:pPr>
        <w:spacing w:after="80" w:line="400" w:lineRule="exact"/>
        <w:ind w:firstLine="420"/>
      </w:pPr>
      <w:r>
        <w:rPr>
          <w:rFonts w:ascii="宋体" w:hAnsi="宋体" w:eastAsia="宋体"/>
          <w:b w:val="0"/>
          <w:sz w:val="24"/>
        </w:rPr>
        <w:t>供应商须提供有效期内的《旅行社业务经营许可证》复印件并加盖公章。</w:t>
      </w:r>
    </w:p>
    <w:p w14:paraId="6DE64EAC">
      <w:r>
        <w:br w:type="page"/>
      </w:r>
    </w:p>
    <w:p w14:paraId="3B49B8D0">
      <w:pPr>
        <w:keepNext w:val="0"/>
        <w:keepLines w:val="0"/>
        <w:widowControl/>
        <w:suppressLineNumbers w:val="0"/>
        <w:shd w:val="clear" w:fill="FFFFFF"/>
        <w:spacing w:before="480" w:beforeAutospacing="0" w:after="240" w:afterAutospacing="0"/>
        <w:ind w:left="0" w:right="0"/>
        <w:jc w:val="left"/>
        <w:rPr>
          <w:rFonts w:hint="default" w:ascii="黑体" w:hAnsi="黑体" w:eastAsia="黑体" w:cs="Times New Roman"/>
          <w:b/>
          <w:i w:val="0"/>
          <w:iCs w:val="0"/>
          <w:caps w:val="0"/>
          <w:color w:val="0F1115"/>
          <w:spacing w:val="0"/>
          <w:sz w:val="28"/>
          <w:szCs w:val="22"/>
        </w:rPr>
      </w:pPr>
      <w:r>
        <w:rPr>
          <w:rFonts w:ascii="黑体" w:hAnsi="黑体" w:eastAsia="黑体"/>
          <w:b/>
          <w:sz w:val="28"/>
        </w:rPr>
        <w:t xml:space="preserve">表6  </w:t>
      </w:r>
      <w:r>
        <w:rPr>
          <w:rFonts w:hint="default" w:ascii="黑体" w:hAnsi="黑体" w:eastAsia="黑体" w:cs="Times New Roman"/>
          <w:b/>
          <w:i w:val="0"/>
          <w:iCs w:val="0"/>
          <w:caps w:val="0"/>
          <w:color w:val="0F1115"/>
          <w:spacing w:val="0"/>
          <w:sz w:val="28"/>
          <w:szCs w:val="22"/>
          <w:shd w:val="clear" w:fill="FFFFFF"/>
        </w:rPr>
        <w:t>无关联关系承诺函</w:t>
      </w:r>
    </w:p>
    <w:p w14:paraId="3555AE57">
      <w:pPr>
        <w:pStyle w:val="30"/>
        <w:keepNext w:val="0"/>
        <w:keepLines w:val="0"/>
        <w:widowControl/>
        <w:suppressLineNumbers w:val="0"/>
        <w:shd w:val="clear" w:fill="FFFFFF"/>
        <w:spacing w:before="240" w:beforeAutospacing="0" w:after="240" w:afterAutospacing="0"/>
        <w:ind w:left="0" w:right="0" w:firstLine="0"/>
        <w:rPr>
          <w:rFonts w:hint="eastAsia" w:ascii="仿宋" w:hAnsi="仿宋" w:eastAsia="仿宋" w:cs="仿宋"/>
          <w:i w:val="0"/>
          <w:iCs w:val="0"/>
          <w:caps w:val="0"/>
          <w:color w:val="0F1115"/>
          <w:spacing w:val="0"/>
          <w:sz w:val="28"/>
          <w:szCs w:val="28"/>
        </w:rPr>
      </w:pPr>
      <w:r>
        <w:rPr>
          <w:rStyle w:val="134"/>
          <w:rFonts w:hint="eastAsia" w:ascii="仿宋" w:hAnsi="仿宋" w:eastAsia="仿宋" w:cs="仿宋"/>
          <w:b/>
          <w:bCs/>
          <w:i w:val="0"/>
          <w:iCs w:val="0"/>
          <w:caps w:val="0"/>
          <w:color w:val="0F1115"/>
          <w:spacing w:val="0"/>
          <w:sz w:val="28"/>
          <w:szCs w:val="28"/>
          <w:shd w:val="clear" w:fill="FFFFFF"/>
        </w:rPr>
        <w:t>致：[采购方名称]</w:t>
      </w:r>
    </w:p>
    <w:p w14:paraId="22915BDE">
      <w:pPr>
        <w:pStyle w:val="30"/>
        <w:keepNext w:val="0"/>
        <w:keepLines w:val="0"/>
        <w:widowControl/>
        <w:suppressLineNumbers w:val="0"/>
        <w:shd w:val="clear" w:fill="FFFFFF"/>
        <w:spacing w:before="240" w:beforeAutospacing="0" w:after="240" w:afterAutospacing="0"/>
        <w:ind w:left="0" w:right="0" w:firstLine="560" w:firstLineChars="200"/>
        <w:rPr>
          <w:rFonts w:hint="eastAsia" w:ascii="仿宋" w:hAnsi="仿宋" w:eastAsia="仿宋" w:cs="仿宋"/>
          <w:sz w:val="28"/>
          <w:szCs w:val="28"/>
        </w:rPr>
      </w:pPr>
      <w:r>
        <w:rPr>
          <w:rFonts w:hint="eastAsia" w:ascii="仿宋" w:hAnsi="仿宋" w:eastAsia="仿宋" w:cs="仿宋"/>
          <w:i w:val="0"/>
          <w:iCs w:val="0"/>
          <w:caps w:val="0"/>
          <w:color w:val="0F1115"/>
          <w:spacing w:val="0"/>
          <w:sz w:val="28"/>
          <w:szCs w:val="28"/>
          <w:shd w:val="clear" w:fill="FFFFFF"/>
        </w:rPr>
        <w:t>我方（参选单位全称）自愿参加贵方组织的“OA办公系统建设”项目比选。为确保比选活动的公平、公正，我方郑重承诺如下：</w:t>
      </w:r>
    </w:p>
    <w:p w14:paraId="1B5BB953">
      <w:pPr>
        <w:pStyle w:val="30"/>
        <w:keepNext w:val="0"/>
        <w:keepLines w:val="0"/>
        <w:widowControl/>
        <w:numPr>
          <w:ilvl w:val="0"/>
          <w:numId w:val="24"/>
        </w:numPr>
        <w:suppressLineNumbers w:val="0"/>
        <w:spacing w:before="0" w:beforeAutospacing="0" w:after="0" w:afterAutospacing="0"/>
        <w:ind w:left="0" w:leftChars="0" w:right="0" w:firstLine="420" w:firstLineChars="0"/>
        <w:rPr>
          <w:rFonts w:hint="eastAsia" w:ascii="仿宋" w:hAnsi="仿宋" w:eastAsia="仿宋" w:cs="仿宋"/>
          <w:sz w:val="28"/>
          <w:szCs w:val="28"/>
        </w:rPr>
      </w:pPr>
      <w:r>
        <w:rPr>
          <w:rStyle w:val="134"/>
          <w:rFonts w:hint="eastAsia" w:ascii="仿宋" w:hAnsi="仿宋" w:eastAsia="仿宋" w:cs="仿宋"/>
          <w:b/>
          <w:bCs/>
          <w:i w:val="0"/>
          <w:iCs w:val="0"/>
          <w:caps w:val="0"/>
          <w:color w:val="0F1115"/>
          <w:spacing w:val="0"/>
          <w:sz w:val="28"/>
          <w:szCs w:val="28"/>
          <w:shd w:val="clear" w:fill="FFFFFF"/>
        </w:rPr>
        <w:t>单位内部无关联关系承诺</w:t>
      </w:r>
      <w:r>
        <w:rPr>
          <w:rFonts w:hint="eastAsia" w:ascii="仿宋" w:hAnsi="仿宋" w:eastAsia="仿宋" w:cs="仿宋"/>
          <w:i w:val="0"/>
          <w:iCs w:val="0"/>
          <w:caps w:val="0"/>
          <w:color w:val="0F1115"/>
          <w:spacing w:val="0"/>
          <w:sz w:val="28"/>
          <w:szCs w:val="28"/>
          <w:shd w:val="clear" w:fill="FFFFFF"/>
        </w:rPr>
        <w:br w:type="textWrapping"/>
      </w:r>
      <w:r>
        <w:rPr>
          <w:rFonts w:hint="eastAsia" w:ascii="仿宋" w:hAnsi="仿宋" w:eastAsia="仿宋" w:cs="仿宋"/>
          <w:i w:val="0"/>
          <w:iCs w:val="0"/>
          <w:caps w:val="0"/>
          <w:color w:val="0F1115"/>
          <w:spacing w:val="0"/>
          <w:sz w:val="28"/>
          <w:szCs w:val="28"/>
          <w:shd w:val="clear" w:fill="FFFFFF"/>
          <w:lang w:val="en-US" w:eastAsia="zh-CN"/>
        </w:rPr>
        <w:t xml:space="preserve">    </w:t>
      </w:r>
      <w:r>
        <w:rPr>
          <w:rFonts w:hint="eastAsia" w:ascii="仿宋" w:hAnsi="仿宋" w:eastAsia="仿宋" w:cs="仿宋"/>
          <w:i w:val="0"/>
          <w:iCs w:val="0"/>
          <w:caps w:val="0"/>
          <w:color w:val="0F1115"/>
          <w:spacing w:val="0"/>
          <w:sz w:val="28"/>
          <w:szCs w:val="28"/>
          <w:shd w:val="clear" w:fill="FFFFFF"/>
        </w:rPr>
        <w:t>我方与其他同时参加本项目比选的任何参选单位之间，</w:t>
      </w:r>
      <w:r>
        <w:rPr>
          <w:rStyle w:val="134"/>
          <w:rFonts w:hint="eastAsia" w:ascii="仿宋" w:hAnsi="仿宋" w:eastAsia="仿宋" w:cs="仿宋"/>
          <w:b/>
          <w:bCs/>
          <w:i w:val="0"/>
          <w:iCs w:val="0"/>
          <w:caps w:val="0"/>
          <w:color w:val="0F1115"/>
          <w:spacing w:val="0"/>
          <w:sz w:val="28"/>
          <w:szCs w:val="28"/>
          <w:shd w:val="clear" w:fill="FFFFFF"/>
        </w:rPr>
        <w:t>不存在</w:t>
      </w:r>
      <w:r>
        <w:rPr>
          <w:rFonts w:hint="eastAsia" w:ascii="仿宋" w:hAnsi="仿宋" w:eastAsia="仿宋" w:cs="仿宋"/>
          <w:i w:val="0"/>
          <w:iCs w:val="0"/>
          <w:caps w:val="0"/>
          <w:color w:val="0F1115"/>
          <w:spacing w:val="0"/>
          <w:sz w:val="28"/>
          <w:szCs w:val="28"/>
          <w:shd w:val="clear" w:fill="FFFFFF"/>
        </w:rPr>
        <w:t>以下任何情形：</w:t>
      </w:r>
      <w:r>
        <w:rPr>
          <w:rFonts w:hint="eastAsia" w:ascii="仿宋" w:hAnsi="仿宋" w:eastAsia="仿宋" w:cs="仿宋"/>
          <w:i w:val="0"/>
          <w:iCs w:val="0"/>
          <w:caps w:val="0"/>
          <w:color w:val="0F1115"/>
          <w:spacing w:val="0"/>
          <w:sz w:val="28"/>
          <w:szCs w:val="28"/>
          <w:shd w:val="clear" w:fill="FFFFFF"/>
        </w:rPr>
        <w:br w:type="textWrapping"/>
      </w:r>
      <w:r>
        <w:rPr>
          <w:rFonts w:hint="eastAsia" w:ascii="仿宋" w:hAnsi="仿宋" w:eastAsia="仿宋" w:cs="仿宋"/>
          <w:i w:val="0"/>
          <w:iCs w:val="0"/>
          <w:caps w:val="0"/>
          <w:color w:val="0F1115"/>
          <w:spacing w:val="0"/>
          <w:sz w:val="28"/>
          <w:szCs w:val="28"/>
          <w:shd w:val="clear" w:fill="FFFFFF"/>
        </w:rPr>
        <w:t>（1）单位负责人为同一人；</w:t>
      </w:r>
      <w:r>
        <w:rPr>
          <w:rFonts w:hint="eastAsia" w:ascii="仿宋" w:hAnsi="仿宋" w:eastAsia="仿宋" w:cs="仿宋"/>
          <w:i w:val="0"/>
          <w:iCs w:val="0"/>
          <w:caps w:val="0"/>
          <w:color w:val="0F1115"/>
          <w:spacing w:val="0"/>
          <w:sz w:val="28"/>
          <w:szCs w:val="28"/>
          <w:shd w:val="clear" w:fill="FFFFFF"/>
        </w:rPr>
        <w:br w:type="textWrapping"/>
      </w:r>
      <w:r>
        <w:rPr>
          <w:rFonts w:hint="eastAsia" w:ascii="仿宋" w:hAnsi="仿宋" w:eastAsia="仿宋" w:cs="仿宋"/>
          <w:i w:val="0"/>
          <w:iCs w:val="0"/>
          <w:caps w:val="0"/>
          <w:color w:val="0F1115"/>
          <w:spacing w:val="0"/>
          <w:sz w:val="28"/>
          <w:szCs w:val="28"/>
          <w:shd w:val="clear" w:fill="FFFFFF"/>
        </w:rPr>
        <w:t>（2）存在直接控股、管理关系；</w:t>
      </w:r>
      <w:r>
        <w:rPr>
          <w:rFonts w:hint="eastAsia" w:ascii="仿宋" w:hAnsi="仿宋" w:eastAsia="仿宋" w:cs="仿宋"/>
          <w:i w:val="0"/>
          <w:iCs w:val="0"/>
          <w:caps w:val="0"/>
          <w:color w:val="0F1115"/>
          <w:spacing w:val="0"/>
          <w:sz w:val="28"/>
          <w:szCs w:val="28"/>
          <w:shd w:val="clear" w:fill="FFFFFF"/>
        </w:rPr>
        <w:br w:type="textWrapping"/>
      </w:r>
      <w:r>
        <w:rPr>
          <w:rFonts w:hint="eastAsia" w:ascii="仿宋" w:hAnsi="仿宋" w:eastAsia="仿宋" w:cs="仿宋"/>
          <w:i w:val="0"/>
          <w:iCs w:val="0"/>
          <w:caps w:val="0"/>
          <w:color w:val="0F1115"/>
          <w:spacing w:val="0"/>
          <w:sz w:val="28"/>
          <w:szCs w:val="28"/>
          <w:shd w:val="clear" w:fill="FFFFFF"/>
        </w:rPr>
        <w:t>（3）其他可能被认定为关联单位的情形。</w:t>
      </w:r>
      <w:r>
        <w:rPr>
          <w:rFonts w:hint="eastAsia" w:ascii="仿宋" w:hAnsi="仿宋" w:eastAsia="仿宋" w:cs="仿宋"/>
          <w:i w:val="0"/>
          <w:iCs w:val="0"/>
          <w:caps w:val="0"/>
          <w:color w:val="0F1115"/>
          <w:spacing w:val="0"/>
          <w:sz w:val="28"/>
          <w:szCs w:val="28"/>
          <w:shd w:val="clear" w:fill="FFFFFF"/>
        </w:rPr>
        <w:br w:type="textWrapping"/>
      </w:r>
      <w:r>
        <w:rPr>
          <w:rFonts w:hint="eastAsia" w:ascii="仿宋" w:hAnsi="仿宋" w:eastAsia="仿宋" w:cs="仿宋"/>
          <w:i w:val="0"/>
          <w:iCs w:val="0"/>
          <w:caps w:val="0"/>
          <w:color w:val="0F1115"/>
          <w:spacing w:val="0"/>
          <w:sz w:val="28"/>
          <w:szCs w:val="28"/>
          <w:shd w:val="clear" w:fill="FFFFFF"/>
        </w:rPr>
        <w:t>若我方与其他参选单位之间存在上述任一关联关系，我方承诺</w:t>
      </w:r>
      <w:r>
        <w:rPr>
          <w:rStyle w:val="134"/>
          <w:rFonts w:hint="eastAsia" w:ascii="仿宋" w:hAnsi="仿宋" w:eastAsia="仿宋" w:cs="仿宋"/>
          <w:b/>
          <w:bCs/>
          <w:i w:val="0"/>
          <w:iCs w:val="0"/>
          <w:caps w:val="0"/>
          <w:color w:val="0F1115"/>
          <w:spacing w:val="0"/>
          <w:sz w:val="28"/>
          <w:szCs w:val="28"/>
          <w:shd w:val="clear" w:fill="FFFFFF"/>
        </w:rPr>
        <w:t>不与其他关联单位同时参加本项目比选</w:t>
      </w:r>
      <w:r>
        <w:rPr>
          <w:rFonts w:hint="eastAsia" w:ascii="仿宋" w:hAnsi="仿宋" w:eastAsia="仿宋" w:cs="仿宋"/>
          <w:i w:val="0"/>
          <w:iCs w:val="0"/>
          <w:caps w:val="0"/>
          <w:color w:val="0F1115"/>
          <w:spacing w:val="0"/>
          <w:sz w:val="28"/>
          <w:szCs w:val="28"/>
          <w:shd w:val="clear" w:fill="FFFFFF"/>
        </w:rPr>
        <w:t>，否则自愿接受取消比选资格、中选无效等处理。</w:t>
      </w:r>
    </w:p>
    <w:p w14:paraId="5B84C2E1">
      <w:pPr>
        <w:pStyle w:val="30"/>
        <w:keepNext w:val="0"/>
        <w:keepLines w:val="0"/>
        <w:widowControl/>
        <w:numPr>
          <w:ilvl w:val="0"/>
          <w:numId w:val="24"/>
        </w:numPr>
        <w:suppressLineNumbers w:val="0"/>
        <w:spacing w:before="0" w:beforeAutospacing="0" w:after="0" w:afterAutospacing="0"/>
        <w:ind w:left="0" w:leftChars="0" w:right="0" w:firstLine="420" w:firstLineChars="0"/>
        <w:rPr>
          <w:rFonts w:hint="eastAsia" w:ascii="仿宋" w:hAnsi="仿宋" w:eastAsia="仿宋" w:cs="仿宋"/>
          <w:sz w:val="28"/>
          <w:szCs w:val="28"/>
        </w:rPr>
      </w:pPr>
      <w:r>
        <w:rPr>
          <w:rStyle w:val="134"/>
          <w:rFonts w:hint="eastAsia" w:ascii="仿宋" w:hAnsi="仿宋" w:eastAsia="仿宋" w:cs="仿宋"/>
          <w:b/>
          <w:bCs/>
          <w:i w:val="0"/>
          <w:iCs w:val="0"/>
          <w:caps w:val="0"/>
          <w:color w:val="0F1115"/>
          <w:spacing w:val="0"/>
          <w:sz w:val="28"/>
          <w:szCs w:val="28"/>
          <w:shd w:val="clear" w:fill="FFFFFF"/>
        </w:rPr>
        <w:t>与采购方无利益关联承诺</w:t>
      </w:r>
      <w:r>
        <w:rPr>
          <w:rFonts w:hint="eastAsia" w:ascii="仿宋" w:hAnsi="仿宋" w:eastAsia="仿宋" w:cs="仿宋"/>
          <w:i w:val="0"/>
          <w:iCs w:val="0"/>
          <w:caps w:val="0"/>
          <w:color w:val="0F1115"/>
          <w:spacing w:val="0"/>
          <w:sz w:val="28"/>
          <w:szCs w:val="28"/>
          <w:shd w:val="clear" w:fill="FFFFFF"/>
        </w:rPr>
        <w:br w:type="textWrapping"/>
      </w:r>
      <w:r>
        <w:rPr>
          <w:rFonts w:hint="eastAsia" w:ascii="仿宋" w:hAnsi="仿宋" w:eastAsia="仿宋" w:cs="仿宋"/>
          <w:i w:val="0"/>
          <w:iCs w:val="0"/>
          <w:caps w:val="0"/>
          <w:color w:val="0F1115"/>
          <w:spacing w:val="0"/>
          <w:sz w:val="28"/>
          <w:szCs w:val="28"/>
          <w:shd w:val="clear" w:fill="FFFFFF"/>
          <w:lang w:val="en-US" w:eastAsia="zh-CN"/>
        </w:rPr>
        <w:t xml:space="preserve">    </w:t>
      </w:r>
      <w:r>
        <w:rPr>
          <w:rFonts w:hint="eastAsia" w:ascii="仿宋" w:hAnsi="仿宋" w:eastAsia="仿宋" w:cs="仿宋"/>
          <w:i w:val="0"/>
          <w:iCs w:val="0"/>
          <w:caps w:val="0"/>
          <w:color w:val="0F1115"/>
          <w:spacing w:val="0"/>
          <w:sz w:val="28"/>
          <w:szCs w:val="28"/>
          <w:shd w:val="clear" w:fill="FFFFFF"/>
        </w:rPr>
        <w:t>我方（含我方控股股东、实际控制人、高级管理人员）</w:t>
      </w:r>
      <w:r>
        <w:rPr>
          <w:rStyle w:val="134"/>
          <w:rFonts w:hint="eastAsia" w:ascii="仿宋" w:hAnsi="仿宋" w:eastAsia="仿宋" w:cs="仿宋"/>
          <w:b/>
          <w:bCs/>
          <w:i w:val="0"/>
          <w:iCs w:val="0"/>
          <w:caps w:val="0"/>
          <w:color w:val="0F1115"/>
          <w:spacing w:val="0"/>
          <w:sz w:val="28"/>
          <w:szCs w:val="28"/>
          <w:shd w:val="clear" w:fill="FFFFFF"/>
        </w:rPr>
        <w:t>不存在</w:t>
      </w:r>
      <w:r>
        <w:rPr>
          <w:rFonts w:hint="eastAsia" w:ascii="仿宋" w:hAnsi="仿宋" w:eastAsia="仿宋" w:cs="仿宋"/>
          <w:i w:val="0"/>
          <w:iCs w:val="0"/>
          <w:caps w:val="0"/>
          <w:color w:val="0F1115"/>
          <w:spacing w:val="0"/>
          <w:sz w:val="28"/>
          <w:szCs w:val="28"/>
          <w:shd w:val="clear" w:fill="FFFFFF"/>
        </w:rPr>
        <w:t>与贵方及贵方关联单位可能影响比选公正性的以下关联关系：</w:t>
      </w:r>
      <w:r>
        <w:rPr>
          <w:rFonts w:hint="eastAsia" w:ascii="仿宋" w:hAnsi="仿宋" w:eastAsia="仿宋" w:cs="仿宋"/>
          <w:i w:val="0"/>
          <w:iCs w:val="0"/>
          <w:caps w:val="0"/>
          <w:color w:val="0F1115"/>
          <w:spacing w:val="0"/>
          <w:sz w:val="28"/>
          <w:szCs w:val="28"/>
          <w:shd w:val="clear" w:fill="FFFFFF"/>
        </w:rPr>
        <w:br w:type="textWrapping"/>
      </w:r>
      <w:r>
        <w:rPr>
          <w:rFonts w:hint="eastAsia" w:ascii="仿宋" w:hAnsi="仿宋" w:eastAsia="仿宋" w:cs="仿宋"/>
          <w:i w:val="0"/>
          <w:iCs w:val="0"/>
          <w:caps w:val="0"/>
          <w:color w:val="0F1115"/>
          <w:spacing w:val="0"/>
          <w:sz w:val="28"/>
          <w:szCs w:val="28"/>
          <w:shd w:val="clear" w:fill="FFFFFF"/>
        </w:rPr>
        <w:t>（1）贵方（或贵方关联单位）的负责人、主要管理人员、采购项目负责人等系我方的股东、实际控制人、董事、监事、高级管理人员或近亲属；</w:t>
      </w:r>
      <w:r>
        <w:rPr>
          <w:rFonts w:hint="eastAsia" w:ascii="仿宋" w:hAnsi="仿宋" w:eastAsia="仿宋" w:cs="仿宋"/>
          <w:i w:val="0"/>
          <w:iCs w:val="0"/>
          <w:caps w:val="0"/>
          <w:color w:val="0F1115"/>
          <w:spacing w:val="0"/>
          <w:sz w:val="28"/>
          <w:szCs w:val="28"/>
          <w:shd w:val="clear" w:fill="FFFFFF"/>
        </w:rPr>
        <w:br w:type="textWrapping"/>
      </w:r>
      <w:r>
        <w:rPr>
          <w:rFonts w:hint="eastAsia" w:ascii="仿宋" w:hAnsi="仿宋" w:eastAsia="仿宋" w:cs="仿宋"/>
          <w:i w:val="0"/>
          <w:iCs w:val="0"/>
          <w:caps w:val="0"/>
          <w:color w:val="0F1115"/>
          <w:spacing w:val="0"/>
          <w:sz w:val="28"/>
          <w:szCs w:val="28"/>
          <w:shd w:val="clear" w:fill="FFFFFF"/>
        </w:rPr>
        <w:t>（2）我方系贵方（或贵方关联单位）出资设立或参与设立的企业；</w:t>
      </w:r>
      <w:r>
        <w:rPr>
          <w:rFonts w:hint="eastAsia" w:ascii="仿宋" w:hAnsi="仿宋" w:eastAsia="仿宋" w:cs="仿宋"/>
          <w:i w:val="0"/>
          <w:iCs w:val="0"/>
          <w:caps w:val="0"/>
          <w:color w:val="0F1115"/>
          <w:spacing w:val="0"/>
          <w:sz w:val="28"/>
          <w:szCs w:val="28"/>
          <w:shd w:val="clear" w:fill="FFFFFF"/>
        </w:rPr>
        <w:br w:type="textWrapping"/>
      </w:r>
      <w:r>
        <w:rPr>
          <w:rFonts w:hint="eastAsia" w:ascii="仿宋" w:hAnsi="仿宋" w:eastAsia="仿宋" w:cs="仿宋"/>
          <w:i w:val="0"/>
          <w:iCs w:val="0"/>
          <w:caps w:val="0"/>
          <w:color w:val="0F1115"/>
          <w:spacing w:val="0"/>
          <w:sz w:val="28"/>
          <w:szCs w:val="28"/>
          <w:shd w:val="clear" w:fill="FFFFFF"/>
        </w:rPr>
        <w:t>（3）贵方（或贵方关联单位）直接或间接持有我方股权或权益，或存在其他可能导致利益输送的关系；</w:t>
      </w:r>
      <w:r>
        <w:rPr>
          <w:rFonts w:hint="eastAsia" w:ascii="仿宋" w:hAnsi="仿宋" w:eastAsia="仿宋" w:cs="仿宋"/>
          <w:i w:val="0"/>
          <w:iCs w:val="0"/>
          <w:caps w:val="0"/>
          <w:color w:val="0F1115"/>
          <w:spacing w:val="0"/>
          <w:sz w:val="28"/>
          <w:szCs w:val="28"/>
          <w:shd w:val="clear" w:fill="FFFFFF"/>
        </w:rPr>
        <w:br w:type="textWrapping"/>
      </w:r>
      <w:r>
        <w:rPr>
          <w:rFonts w:hint="eastAsia" w:ascii="仿宋" w:hAnsi="仿宋" w:eastAsia="仿宋" w:cs="仿宋"/>
          <w:i w:val="0"/>
          <w:iCs w:val="0"/>
          <w:caps w:val="0"/>
          <w:color w:val="0F1115"/>
          <w:spacing w:val="0"/>
          <w:sz w:val="28"/>
          <w:szCs w:val="28"/>
          <w:shd w:val="clear" w:fill="FFFFFF"/>
        </w:rPr>
        <w:t>（4）其他可能对比选公正性产生实质性影响的经济、人事、亲属等关联关系。</w:t>
      </w:r>
    </w:p>
    <w:p w14:paraId="7652CBF1">
      <w:pPr>
        <w:pStyle w:val="30"/>
        <w:keepNext w:val="0"/>
        <w:keepLines w:val="0"/>
        <w:widowControl/>
        <w:numPr>
          <w:ilvl w:val="0"/>
          <w:numId w:val="24"/>
        </w:numPr>
        <w:suppressLineNumbers w:val="0"/>
        <w:spacing w:before="0" w:beforeAutospacing="0" w:after="0" w:afterAutospacing="0"/>
        <w:ind w:left="0" w:leftChars="0" w:right="0" w:firstLine="420" w:firstLineChars="0"/>
        <w:rPr>
          <w:rFonts w:hint="eastAsia" w:ascii="仿宋" w:hAnsi="仿宋" w:eastAsia="仿宋" w:cs="仿宋"/>
          <w:sz w:val="28"/>
          <w:szCs w:val="28"/>
        </w:rPr>
      </w:pPr>
      <w:r>
        <w:rPr>
          <w:rStyle w:val="134"/>
          <w:rFonts w:hint="eastAsia" w:ascii="仿宋" w:hAnsi="仿宋" w:eastAsia="仿宋" w:cs="仿宋"/>
          <w:b/>
          <w:bCs/>
          <w:i w:val="0"/>
          <w:iCs w:val="0"/>
          <w:caps w:val="0"/>
          <w:color w:val="0F1115"/>
          <w:spacing w:val="0"/>
          <w:sz w:val="28"/>
          <w:szCs w:val="28"/>
          <w:shd w:val="clear" w:fill="FFFFFF"/>
        </w:rPr>
        <w:t>真实性及责任承担</w:t>
      </w:r>
      <w:r>
        <w:rPr>
          <w:rFonts w:hint="eastAsia" w:ascii="仿宋" w:hAnsi="仿宋" w:eastAsia="仿宋" w:cs="仿宋"/>
          <w:i w:val="0"/>
          <w:iCs w:val="0"/>
          <w:caps w:val="0"/>
          <w:color w:val="0F1115"/>
          <w:spacing w:val="0"/>
          <w:sz w:val="28"/>
          <w:szCs w:val="28"/>
          <w:shd w:val="clear" w:fill="FFFFFF"/>
        </w:rPr>
        <w:br w:type="textWrapping"/>
      </w:r>
      <w:r>
        <w:rPr>
          <w:rFonts w:hint="eastAsia" w:ascii="仿宋" w:hAnsi="仿宋" w:eastAsia="仿宋" w:cs="仿宋"/>
          <w:i w:val="0"/>
          <w:iCs w:val="0"/>
          <w:caps w:val="0"/>
          <w:color w:val="0F1115"/>
          <w:spacing w:val="0"/>
          <w:sz w:val="28"/>
          <w:szCs w:val="28"/>
          <w:shd w:val="clear" w:fill="FFFFFF"/>
        </w:rPr>
        <w:t>本承诺函所述内容真实、完整、有效。如我方违反上述任一承诺，贵方有权取消我方的比选资格或中选资格，并有权追究我方的法律责任。由此给贵方造成损失的，我方愿意承担全部赔偿责任。</w:t>
      </w:r>
    </w:p>
    <w:p w14:paraId="470B66E3">
      <w:pPr>
        <w:pStyle w:val="30"/>
        <w:keepNext w:val="0"/>
        <w:keepLines w:val="0"/>
        <w:widowControl/>
        <w:numPr>
          <w:ilvl w:val="0"/>
          <w:numId w:val="24"/>
        </w:numPr>
        <w:suppressLineNumbers w:val="0"/>
        <w:spacing w:before="0" w:beforeAutospacing="0" w:after="0" w:afterAutospacing="0"/>
        <w:ind w:left="0" w:leftChars="0" w:right="0" w:firstLine="420" w:firstLineChars="0"/>
        <w:rPr>
          <w:rFonts w:hint="eastAsia" w:ascii="仿宋" w:hAnsi="仿宋" w:eastAsia="仿宋" w:cs="仿宋"/>
          <w:sz w:val="28"/>
          <w:szCs w:val="28"/>
        </w:rPr>
      </w:pPr>
      <w:r>
        <w:rPr>
          <w:rStyle w:val="134"/>
          <w:rFonts w:hint="eastAsia" w:ascii="仿宋" w:hAnsi="仿宋" w:eastAsia="仿宋" w:cs="仿宋"/>
          <w:b/>
          <w:bCs/>
          <w:i w:val="0"/>
          <w:iCs w:val="0"/>
          <w:caps w:val="0"/>
          <w:color w:val="0F1115"/>
          <w:spacing w:val="0"/>
          <w:sz w:val="28"/>
          <w:szCs w:val="28"/>
          <w:shd w:val="clear" w:fill="FFFFFF"/>
        </w:rPr>
        <w:t>其他约定</w:t>
      </w:r>
      <w:r>
        <w:rPr>
          <w:rFonts w:hint="eastAsia" w:ascii="仿宋" w:hAnsi="仿宋" w:eastAsia="仿宋" w:cs="仿宋"/>
          <w:i w:val="0"/>
          <w:iCs w:val="0"/>
          <w:caps w:val="0"/>
          <w:color w:val="0F1115"/>
          <w:spacing w:val="0"/>
          <w:sz w:val="28"/>
          <w:szCs w:val="28"/>
          <w:shd w:val="clear" w:fill="FFFFFF"/>
        </w:rPr>
        <w:br w:type="textWrapping"/>
      </w:r>
      <w:r>
        <w:rPr>
          <w:rFonts w:hint="eastAsia" w:ascii="仿宋" w:hAnsi="仿宋" w:eastAsia="仿宋" w:cs="仿宋"/>
          <w:i w:val="0"/>
          <w:iCs w:val="0"/>
          <w:caps w:val="0"/>
          <w:color w:val="0F1115"/>
          <w:spacing w:val="0"/>
          <w:sz w:val="28"/>
          <w:szCs w:val="28"/>
          <w:shd w:val="clear" w:fill="FFFFFF"/>
        </w:rPr>
        <w:t>本承诺函自我方法定代表人（或授权代表）签字并加盖公章之日起生效，在本次比选及后续合同履行期间持续有效。</w:t>
      </w:r>
    </w:p>
    <w:p w14:paraId="4B378D16">
      <w:pPr>
        <w:pStyle w:val="30"/>
        <w:keepNext w:val="0"/>
        <w:keepLines w:val="0"/>
        <w:widowControl/>
        <w:numPr>
          <w:ilvl w:val="0"/>
          <w:numId w:val="0"/>
        </w:numPr>
        <w:suppressLineNumbers w:val="0"/>
        <w:spacing w:before="0" w:beforeAutospacing="0" w:after="0" w:afterAutospacing="0"/>
        <w:ind w:left="420" w:leftChars="0" w:right="0" w:right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特此承诺！</w:t>
      </w:r>
    </w:p>
    <w:p w14:paraId="11C7792D">
      <w:pPr>
        <w:pStyle w:val="30"/>
        <w:keepNext w:val="0"/>
        <w:keepLines w:val="0"/>
        <w:widowControl/>
        <w:numPr>
          <w:ilvl w:val="0"/>
          <w:numId w:val="0"/>
        </w:numPr>
        <w:suppressLineNumbers w:val="0"/>
        <w:spacing w:before="0" w:beforeAutospacing="0" w:after="0" w:afterAutospacing="0"/>
        <w:ind w:right="0" w:rightChars="0"/>
        <w:jc w:val="left"/>
        <w:rPr>
          <w:rFonts w:hint="eastAsia" w:ascii="仿宋" w:hAnsi="仿宋" w:eastAsia="仿宋" w:cs="仿宋"/>
          <w:sz w:val="28"/>
          <w:szCs w:val="28"/>
        </w:rPr>
      </w:pPr>
    </w:p>
    <w:p w14:paraId="357B312C">
      <w:pPr>
        <w:pStyle w:val="30"/>
        <w:keepNext w:val="0"/>
        <w:keepLines w:val="0"/>
        <w:widowControl/>
        <w:suppressLineNumbers w:val="0"/>
        <w:shd w:val="clear" w:fill="FFFFFF"/>
        <w:spacing w:before="240" w:beforeAutospacing="0" w:after="240" w:afterAutospacing="0"/>
        <w:ind w:left="0" w:right="0" w:firstLine="0"/>
        <w:jc w:val="center"/>
        <w:rPr>
          <w:rFonts w:hint="eastAsia" w:ascii="仿宋" w:hAnsi="仿宋" w:eastAsia="仿宋" w:cs="仿宋"/>
          <w:i w:val="0"/>
          <w:iCs w:val="0"/>
          <w:caps w:val="0"/>
          <w:color w:val="0F1115"/>
          <w:spacing w:val="0"/>
          <w:sz w:val="28"/>
          <w:szCs w:val="28"/>
        </w:rPr>
      </w:pPr>
      <w:r>
        <w:rPr>
          <w:rStyle w:val="134"/>
          <w:rFonts w:hint="eastAsia" w:ascii="仿宋" w:hAnsi="仿宋" w:eastAsia="仿宋" w:cs="仿宋"/>
          <w:b/>
          <w:bCs/>
          <w:i w:val="0"/>
          <w:iCs w:val="0"/>
          <w:caps w:val="0"/>
          <w:color w:val="0F1115"/>
          <w:spacing w:val="0"/>
          <w:sz w:val="28"/>
          <w:szCs w:val="28"/>
          <w:shd w:val="clear" w:fill="FFFFFF"/>
          <w:lang w:val="en-US" w:eastAsia="zh-CN"/>
        </w:rPr>
        <w:t xml:space="preserve">               </w:t>
      </w:r>
      <w:r>
        <w:rPr>
          <w:rStyle w:val="134"/>
          <w:rFonts w:hint="eastAsia" w:ascii="仿宋" w:hAnsi="仿宋" w:eastAsia="仿宋" w:cs="仿宋"/>
          <w:b/>
          <w:bCs/>
          <w:i w:val="0"/>
          <w:iCs w:val="0"/>
          <w:caps w:val="0"/>
          <w:color w:val="0F1115"/>
          <w:spacing w:val="0"/>
          <w:sz w:val="28"/>
          <w:szCs w:val="28"/>
          <w:shd w:val="clear" w:fill="FFFFFF"/>
        </w:rPr>
        <w:t>参选单位名称（加盖公章）：</w:t>
      </w:r>
      <w:r>
        <w:rPr>
          <w:rFonts w:hint="eastAsia" w:ascii="仿宋" w:hAnsi="仿宋" w:eastAsia="仿宋" w:cs="仿宋"/>
          <w:i w:val="0"/>
          <w:iCs w:val="0"/>
          <w:caps w:val="0"/>
          <w:color w:val="0F1115"/>
          <w:spacing w:val="0"/>
          <w:sz w:val="28"/>
          <w:szCs w:val="28"/>
          <w:shd w:val="clear" w:fill="FFFFFF"/>
        </w:rPr>
        <w:t> ______________</w:t>
      </w:r>
      <w:r>
        <w:rPr>
          <w:rFonts w:hint="eastAsia" w:ascii="仿宋" w:hAnsi="仿宋" w:eastAsia="仿宋" w:cs="仿宋"/>
          <w:i w:val="0"/>
          <w:iCs w:val="0"/>
          <w:caps w:val="0"/>
          <w:color w:val="0F1115"/>
          <w:spacing w:val="0"/>
          <w:sz w:val="28"/>
          <w:szCs w:val="28"/>
          <w:shd w:val="clear" w:fill="FFFFFF"/>
        </w:rPr>
        <w:br w:type="textWrapping"/>
      </w:r>
      <w:r>
        <w:rPr>
          <w:rFonts w:hint="eastAsia" w:ascii="仿宋" w:hAnsi="仿宋" w:eastAsia="仿宋" w:cs="仿宋"/>
          <w:i w:val="0"/>
          <w:iCs w:val="0"/>
          <w:caps w:val="0"/>
          <w:color w:val="0F1115"/>
          <w:spacing w:val="0"/>
          <w:sz w:val="28"/>
          <w:szCs w:val="28"/>
          <w:shd w:val="clear" w:fill="FFFFFF"/>
          <w:lang w:val="en-US" w:eastAsia="zh-CN"/>
        </w:rPr>
        <w:t xml:space="preserve">                 </w:t>
      </w:r>
      <w:r>
        <w:rPr>
          <w:rStyle w:val="134"/>
          <w:rFonts w:hint="eastAsia" w:ascii="仿宋" w:hAnsi="仿宋" w:eastAsia="仿宋" w:cs="仿宋"/>
          <w:b/>
          <w:bCs/>
          <w:i w:val="0"/>
          <w:iCs w:val="0"/>
          <w:caps w:val="0"/>
          <w:color w:val="0F1115"/>
          <w:spacing w:val="0"/>
          <w:sz w:val="28"/>
          <w:szCs w:val="28"/>
          <w:shd w:val="clear" w:fill="FFFFFF"/>
        </w:rPr>
        <w:t>法定代表人（或授权代表）签字：</w:t>
      </w:r>
      <w:r>
        <w:rPr>
          <w:rFonts w:hint="eastAsia" w:ascii="仿宋" w:hAnsi="仿宋" w:eastAsia="仿宋" w:cs="仿宋"/>
          <w:i w:val="0"/>
          <w:iCs w:val="0"/>
          <w:caps w:val="0"/>
          <w:color w:val="0F1115"/>
          <w:spacing w:val="0"/>
          <w:sz w:val="28"/>
          <w:szCs w:val="28"/>
          <w:shd w:val="clear" w:fill="FFFFFF"/>
        </w:rPr>
        <w:t> ______________</w:t>
      </w:r>
      <w:r>
        <w:rPr>
          <w:rFonts w:hint="eastAsia" w:ascii="仿宋" w:hAnsi="仿宋" w:eastAsia="仿宋" w:cs="仿宋"/>
          <w:i w:val="0"/>
          <w:iCs w:val="0"/>
          <w:caps w:val="0"/>
          <w:color w:val="0F1115"/>
          <w:spacing w:val="0"/>
          <w:sz w:val="28"/>
          <w:szCs w:val="28"/>
          <w:shd w:val="clear" w:fill="FFFFFF"/>
        </w:rPr>
        <w:br w:type="textWrapping"/>
      </w:r>
      <w:r>
        <w:rPr>
          <w:rFonts w:hint="eastAsia" w:ascii="仿宋" w:hAnsi="仿宋" w:eastAsia="仿宋" w:cs="仿宋"/>
          <w:i w:val="0"/>
          <w:iCs w:val="0"/>
          <w:caps w:val="0"/>
          <w:color w:val="0F1115"/>
          <w:spacing w:val="0"/>
          <w:sz w:val="28"/>
          <w:szCs w:val="28"/>
          <w:shd w:val="clear" w:fill="FFFFFF"/>
          <w:lang w:val="en-US" w:eastAsia="zh-CN"/>
        </w:rPr>
        <w:t xml:space="preserve">                 </w:t>
      </w:r>
      <w:r>
        <w:rPr>
          <w:rStyle w:val="134"/>
          <w:rFonts w:hint="eastAsia" w:ascii="仿宋" w:hAnsi="仿宋" w:eastAsia="仿宋" w:cs="仿宋"/>
          <w:b/>
          <w:bCs/>
          <w:i w:val="0"/>
          <w:iCs w:val="0"/>
          <w:caps w:val="0"/>
          <w:color w:val="0F1115"/>
          <w:spacing w:val="0"/>
          <w:sz w:val="28"/>
          <w:szCs w:val="28"/>
          <w:shd w:val="clear" w:fill="FFFFFF"/>
        </w:rPr>
        <w:t>日期：</w:t>
      </w:r>
      <w:r>
        <w:rPr>
          <w:rFonts w:hint="eastAsia" w:ascii="仿宋" w:hAnsi="仿宋" w:eastAsia="仿宋" w:cs="仿宋"/>
          <w:i w:val="0"/>
          <w:iCs w:val="0"/>
          <w:caps w:val="0"/>
          <w:color w:val="0F1115"/>
          <w:spacing w:val="0"/>
          <w:sz w:val="28"/>
          <w:szCs w:val="28"/>
          <w:shd w:val="clear" w:fill="FFFFFF"/>
        </w:rPr>
        <w:t> ________年____月____日</w:t>
      </w:r>
    </w:p>
    <w:p w14:paraId="03C043CD">
      <w:pPr>
        <w:spacing w:after="80" w:line="400" w:lineRule="exact"/>
        <w:ind w:firstLine="420"/>
        <w:rPr>
          <w:rFonts w:ascii="黑体" w:hAnsi="黑体" w:eastAsia="黑体"/>
          <w:b/>
          <w:sz w:val="28"/>
        </w:rPr>
      </w:pPr>
    </w:p>
    <w:p w14:paraId="28F2A00B">
      <w:pPr>
        <w:spacing w:after="80" w:line="400" w:lineRule="exact"/>
        <w:ind w:firstLine="420"/>
        <w:rPr>
          <w:rFonts w:ascii="黑体" w:hAnsi="黑体" w:eastAsia="黑体"/>
          <w:b/>
          <w:sz w:val="28"/>
        </w:rPr>
      </w:pPr>
    </w:p>
    <w:p w14:paraId="1B0BD906">
      <w:pPr>
        <w:spacing w:after="80" w:line="400" w:lineRule="exact"/>
        <w:ind w:firstLine="420"/>
        <w:rPr>
          <w:rFonts w:ascii="黑体" w:hAnsi="黑体" w:eastAsia="黑体"/>
          <w:b/>
          <w:sz w:val="28"/>
        </w:rPr>
      </w:pPr>
    </w:p>
    <w:p w14:paraId="130B200D">
      <w:pPr>
        <w:spacing w:after="80" w:line="400" w:lineRule="exact"/>
        <w:ind w:firstLine="420"/>
        <w:rPr>
          <w:rFonts w:ascii="黑体" w:hAnsi="黑体" w:eastAsia="黑体"/>
          <w:b/>
          <w:sz w:val="28"/>
        </w:rPr>
      </w:pPr>
    </w:p>
    <w:p w14:paraId="75AFB308">
      <w:pPr>
        <w:spacing w:after="80" w:line="400" w:lineRule="exact"/>
        <w:ind w:firstLine="420"/>
        <w:rPr>
          <w:rFonts w:ascii="黑体" w:hAnsi="黑体" w:eastAsia="黑体"/>
          <w:b/>
          <w:sz w:val="28"/>
        </w:rPr>
      </w:pPr>
    </w:p>
    <w:p w14:paraId="57C9BB65">
      <w:pPr>
        <w:spacing w:after="80" w:line="400" w:lineRule="exact"/>
        <w:ind w:firstLine="420"/>
        <w:rPr>
          <w:rFonts w:ascii="黑体" w:hAnsi="黑体" w:eastAsia="黑体"/>
          <w:b/>
          <w:sz w:val="28"/>
        </w:rPr>
      </w:pPr>
    </w:p>
    <w:p w14:paraId="51D2D956">
      <w:pPr>
        <w:spacing w:after="80" w:line="400" w:lineRule="exact"/>
        <w:ind w:firstLine="420"/>
        <w:rPr>
          <w:rFonts w:ascii="黑体" w:hAnsi="黑体" w:eastAsia="黑体"/>
          <w:b/>
          <w:sz w:val="28"/>
        </w:rPr>
      </w:pPr>
    </w:p>
    <w:p w14:paraId="125D99CE">
      <w:pPr>
        <w:spacing w:after="80" w:line="400" w:lineRule="exact"/>
        <w:ind w:firstLine="420"/>
        <w:rPr>
          <w:rFonts w:ascii="黑体" w:hAnsi="黑体" w:eastAsia="黑体"/>
          <w:b/>
          <w:sz w:val="28"/>
        </w:rPr>
      </w:pPr>
    </w:p>
    <w:p w14:paraId="5B7E47AA">
      <w:pPr>
        <w:spacing w:after="80" w:line="400" w:lineRule="exact"/>
        <w:ind w:firstLine="420"/>
        <w:rPr>
          <w:rFonts w:ascii="黑体" w:hAnsi="黑体" w:eastAsia="黑体"/>
          <w:b/>
          <w:sz w:val="28"/>
        </w:rPr>
      </w:pPr>
    </w:p>
    <w:p w14:paraId="0F5E2DA3">
      <w:pPr>
        <w:spacing w:after="80" w:line="400" w:lineRule="exact"/>
        <w:ind w:firstLine="420"/>
        <w:rPr>
          <w:rFonts w:ascii="黑体" w:hAnsi="黑体" w:eastAsia="黑体"/>
          <w:b/>
          <w:sz w:val="28"/>
        </w:rPr>
      </w:pPr>
    </w:p>
    <w:p w14:paraId="1F6ED23E">
      <w:pPr>
        <w:spacing w:after="80" w:line="400" w:lineRule="exact"/>
        <w:ind w:firstLine="420"/>
        <w:rPr>
          <w:rFonts w:ascii="黑体" w:hAnsi="黑体" w:eastAsia="黑体"/>
          <w:b/>
          <w:sz w:val="28"/>
        </w:rPr>
      </w:pPr>
    </w:p>
    <w:p w14:paraId="36C7F7A7">
      <w:pPr>
        <w:spacing w:after="80" w:line="400" w:lineRule="exact"/>
        <w:ind w:firstLine="420"/>
        <w:rPr>
          <w:rFonts w:ascii="黑体" w:hAnsi="黑体" w:eastAsia="黑体"/>
          <w:b/>
          <w:sz w:val="28"/>
        </w:rPr>
      </w:pPr>
    </w:p>
    <w:p w14:paraId="487935B6">
      <w:pPr>
        <w:spacing w:after="80" w:line="400" w:lineRule="exact"/>
        <w:ind w:firstLine="420"/>
        <w:rPr>
          <w:rFonts w:ascii="黑体" w:hAnsi="黑体" w:eastAsia="黑体"/>
          <w:b/>
          <w:sz w:val="28"/>
        </w:rPr>
      </w:pPr>
    </w:p>
    <w:p w14:paraId="68C460D0">
      <w:pPr>
        <w:spacing w:after="80" w:line="400" w:lineRule="exact"/>
        <w:ind w:firstLine="420"/>
        <w:rPr>
          <w:rFonts w:ascii="黑体" w:hAnsi="黑体" w:eastAsia="黑体"/>
          <w:b/>
          <w:sz w:val="28"/>
        </w:rPr>
      </w:pPr>
    </w:p>
    <w:p w14:paraId="5B126C6D">
      <w:pPr>
        <w:spacing w:after="80" w:line="400" w:lineRule="exact"/>
        <w:ind w:firstLine="420"/>
        <w:rPr>
          <w:rFonts w:ascii="黑体" w:hAnsi="黑体" w:eastAsia="黑体"/>
          <w:b/>
          <w:sz w:val="28"/>
        </w:rPr>
      </w:pPr>
    </w:p>
    <w:p w14:paraId="1AC1BAEE">
      <w:pPr>
        <w:spacing w:after="80" w:line="400" w:lineRule="exact"/>
        <w:ind w:firstLine="420"/>
        <w:rPr>
          <w:rFonts w:ascii="黑体" w:hAnsi="黑体" w:eastAsia="黑体"/>
          <w:b/>
          <w:sz w:val="28"/>
        </w:rPr>
      </w:pPr>
    </w:p>
    <w:p w14:paraId="4843C652">
      <w:pPr>
        <w:spacing w:after="80" w:line="400" w:lineRule="exact"/>
        <w:ind w:firstLine="420"/>
        <w:rPr>
          <w:rFonts w:ascii="黑体" w:hAnsi="黑体" w:eastAsia="黑体"/>
          <w:b/>
          <w:sz w:val="28"/>
        </w:rPr>
      </w:pPr>
    </w:p>
    <w:p w14:paraId="36D42C45">
      <w:pPr>
        <w:spacing w:after="80" w:line="400" w:lineRule="exact"/>
        <w:ind w:firstLine="420"/>
        <w:rPr>
          <w:rFonts w:ascii="黑体" w:hAnsi="黑体" w:eastAsia="黑体"/>
          <w:b/>
          <w:sz w:val="28"/>
        </w:rPr>
      </w:pPr>
    </w:p>
    <w:p w14:paraId="6285F0C8">
      <w:pPr>
        <w:spacing w:after="80" w:line="400" w:lineRule="exact"/>
        <w:ind w:firstLine="420"/>
        <w:rPr>
          <w:rFonts w:ascii="黑体" w:hAnsi="黑体" w:eastAsia="黑体"/>
          <w:b/>
          <w:sz w:val="28"/>
        </w:rPr>
      </w:pPr>
    </w:p>
    <w:p w14:paraId="4319A75F">
      <w:pPr>
        <w:spacing w:after="0" w:line="240" w:lineRule="auto"/>
        <w:ind w:firstLine="0"/>
        <w:rPr>
          <w:rFonts w:hint="default" w:ascii="黑体" w:hAnsi="黑体" w:eastAsia="黑体"/>
          <w:b/>
          <w:sz w:val="28"/>
          <w:lang w:val="en-US" w:eastAsia="zh-CN"/>
        </w:rPr>
      </w:pPr>
      <w:r>
        <w:rPr>
          <w:rFonts w:hint="default" w:ascii="黑体" w:hAnsi="黑体" w:eastAsia="黑体"/>
          <w:b/>
          <w:sz w:val="28"/>
          <w:lang w:val="en-US" w:eastAsia="zh-CN"/>
        </w:rPr>
        <w:t>表7</w:t>
      </w:r>
    </w:p>
    <w:p w14:paraId="62AC2402">
      <w:pPr>
        <w:spacing w:after="80" w:line="400" w:lineRule="exact"/>
        <w:ind w:firstLine="420"/>
      </w:pPr>
      <w:r>
        <w:rPr>
          <w:rFonts w:ascii="黑体" w:hAnsi="黑体" w:eastAsia="黑体"/>
          <w:b/>
          <w:sz w:val="28"/>
        </w:rPr>
        <w:t>近三年类似</w:t>
      </w:r>
      <w:r>
        <w:rPr>
          <w:rFonts w:hint="eastAsia" w:ascii="黑体" w:hAnsi="黑体" w:eastAsia="黑体"/>
          <w:b/>
          <w:sz w:val="28"/>
          <w:lang w:eastAsia="zh-CN"/>
        </w:rPr>
        <w:t>研修</w:t>
      </w:r>
      <w:r>
        <w:rPr>
          <w:rFonts w:ascii="黑体" w:hAnsi="黑体" w:eastAsia="黑体"/>
          <w:b/>
          <w:sz w:val="28"/>
        </w:rPr>
        <w:t>项目业绩一览表（须加盖本单位公章）</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31"/>
        <w:gridCol w:w="1657"/>
        <w:gridCol w:w="1117"/>
        <w:gridCol w:w="1383"/>
        <w:gridCol w:w="1390"/>
        <w:gridCol w:w="1384"/>
      </w:tblGrid>
      <w:tr w14:paraId="21A0A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984" w:type="dxa"/>
            <w:shd w:val="clear" w:color="auto" w:fill="4472C4"/>
            <w:vAlign w:val="center"/>
          </w:tcPr>
          <w:p w14:paraId="084FD816">
            <w:pPr>
              <w:jc w:val="center"/>
            </w:pPr>
            <w:r>
              <w:rPr>
                <w:rFonts w:ascii="黑体" w:hAnsi="黑体" w:eastAsia="黑体"/>
                <w:b/>
                <w:color w:val="FFFFFF"/>
                <w:sz w:val="21"/>
              </w:rPr>
              <w:t>项目名称</w:t>
            </w:r>
          </w:p>
        </w:tc>
        <w:tc>
          <w:tcPr>
            <w:tcW w:w="1701" w:type="dxa"/>
            <w:shd w:val="clear" w:color="auto" w:fill="4472C4"/>
            <w:vAlign w:val="center"/>
          </w:tcPr>
          <w:p w14:paraId="7C390138">
            <w:pPr>
              <w:jc w:val="center"/>
            </w:pPr>
            <w:r>
              <w:rPr>
                <w:rFonts w:ascii="黑体" w:hAnsi="黑体" w:eastAsia="黑体"/>
                <w:b/>
                <w:color w:val="FFFFFF"/>
                <w:sz w:val="21"/>
              </w:rPr>
              <w:t>招标人/委托方</w:t>
            </w:r>
          </w:p>
        </w:tc>
        <w:tc>
          <w:tcPr>
            <w:tcW w:w="1134" w:type="dxa"/>
            <w:shd w:val="clear" w:color="auto" w:fill="4472C4"/>
            <w:vAlign w:val="center"/>
          </w:tcPr>
          <w:p w14:paraId="7F63143C">
            <w:pPr>
              <w:jc w:val="center"/>
            </w:pPr>
            <w:r>
              <w:rPr>
                <w:rFonts w:ascii="黑体" w:hAnsi="黑体" w:eastAsia="黑体"/>
                <w:b/>
                <w:color w:val="FFFFFF"/>
                <w:sz w:val="21"/>
              </w:rPr>
              <w:t>规模（人数）</w:t>
            </w:r>
          </w:p>
        </w:tc>
        <w:tc>
          <w:tcPr>
            <w:tcW w:w="1417" w:type="dxa"/>
            <w:shd w:val="clear" w:color="auto" w:fill="4472C4"/>
            <w:vAlign w:val="center"/>
          </w:tcPr>
          <w:p w14:paraId="0E2AB8FA">
            <w:pPr>
              <w:jc w:val="center"/>
            </w:pPr>
            <w:r>
              <w:rPr>
                <w:rFonts w:ascii="黑体" w:hAnsi="黑体" w:eastAsia="黑体"/>
                <w:b/>
                <w:color w:val="FFFFFF"/>
                <w:sz w:val="21"/>
              </w:rPr>
              <w:t>服务时间</w:t>
            </w:r>
          </w:p>
        </w:tc>
        <w:tc>
          <w:tcPr>
            <w:tcW w:w="1417" w:type="dxa"/>
            <w:shd w:val="clear" w:color="auto" w:fill="4472C4"/>
            <w:vAlign w:val="center"/>
          </w:tcPr>
          <w:p w14:paraId="7202F349">
            <w:pPr>
              <w:jc w:val="center"/>
            </w:pPr>
            <w:r>
              <w:rPr>
                <w:rFonts w:ascii="黑体" w:hAnsi="黑体" w:eastAsia="黑体"/>
                <w:b/>
                <w:color w:val="FFFFFF"/>
                <w:sz w:val="21"/>
              </w:rPr>
              <w:t>合同金额（万元）</w:t>
            </w:r>
          </w:p>
        </w:tc>
        <w:tc>
          <w:tcPr>
            <w:tcW w:w="1417" w:type="dxa"/>
            <w:shd w:val="clear" w:color="auto" w:fill="4472C4"/>
            <w:vAlign w:val="center"/>
          </w:tcPr>
          <w:p w14:paraId="04B4B1BF">
            <w:pPr>
              <w:jc w:val="center"/>
            </w:pPr>
            <w:r>
              <w:rPr>
                <w:rFonts w:ascii="黑体" w:hAnsi="黑体" w:eastAsia="黑体"/>
                <w:b/>
                <w:color w:val="FFFFFF"/>
                <w:sz w:val="21"/>
              </w:rPr>
              <w:t>备注</w:t>
            </w:r>
          </w:p>
        </w:tc>
      </w:tr>
      <w:tr w14:paraId="56766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4" w:type="dxa"/>
            <w:vAlign w:val="center"/>
          </w:tcPr>
          <w:p w14:paraId="496C8105">
            <w:pPr>
              <w:jc w:val="center"/>
            </w:pPr>
          </w:p>
        </w:tc>
        <w:tc>
          <w:tcPr>
            <w:tcW w:w="1701" w:type="dxa"/>
            <w:vAlign w:val="center"/>
          </w:tcPr>
          <w:p w14:paraId="1CE3353E">
            <w:pPr>
              <w:jc w:val="center"/>
            </w:pPr>
          </w:p>
        </w:tc>
        <w:tc>
          <w:tcPr>
            <w:tcW w:w="1134" w:type="dxa"/>
            <w:vAlign w:val="center"/>
          </w:tcPr>
          <w:p w14:paraId="127C1923">
            <w:pPr>
              <w:jc w:val="center"/>
            </w:pPr>
          </w:p>
        </w:tc>
        <w:tc>
          <w:tcPr>
            <w:tcW w:w="1417" w:type="dxa"/>
            <w:vAlign w:val="center"/>
          </w:tcPr>
          <w:p w14:paraId="368B7569">
            <w:pPr>
              <w:jc w:val="center"/>
            </w:pPr>
          </w:p>
        </w:tc>
        <w:tc>
          <w:tcPr>
            <w:tcW w:w="1417" w:type="dxa"/>
            <w:vAlign w:val="center"/>
          </w:tcPr>
          <w:p w14:paraId="0667C28A">
            <w:pPr>
              <w:jc w:val="center"/>
            </w:pPr>
          </w:p>
        </w:tc>
        <w:tc>
          <w:tcPr>
            <w:tcW w:w="1417" w:type="dxa"/>
            <w:vAlign w:val="center"/>
          </w:tcPr>
          <w:p w14:paraId="38DA70B8">
            <w:pPr>
              <w:jc w:val="center"/>
            </w:pPr>
          </w:p>
        </w:tc>
      </w:tr>
      <w:tr w14:paraId="089A4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4" w:type="dxa"/>
            <w:vAlign w:val="center"/>
          </w:tcPr>
          <w:p w14:paraId="22CD0FE4">
            <w:pPr>
              <w:jc w:val="center"/>
            </w:pPr>
          </w:p>
        </w:tc>
        <w:tc>
          <w:tcPr>
            <w:tcW w:w="1701" w:type="dxa"/>
            <w:vAlign w:val="center"/>
          </w:tcPr>
          <w:p w14:paraId="29DA0569">
            <w:pPr>
              <w:jc w:val="center"/>
            </w:pPr>
          </w:p>
        </w:tc>
        <w:tc>
          <w:tcPr>
            <w:tcW w:w="1134" w:type="dxa"/>
            <w:vAlign w:val="center"/>
          </w:tcPr>
          <w:p w14:paraId="1486BC24">
            <w:pPr>
              <w:jc w:val="center"/>
            </w:pPr>
          </w:p>
        </w:tc>
        <w:tc>
          <w:tcPr>
            <w:tcW w:w="1417" w:type="dxa"/>
            <w:vAlign w:val="center"/>
          </w:tcPr>
          <w:p w14:paraId="2148963C">
            <w:pPr>
              <w:jc w:val="center"/>
            </w:pPr>
          </w:p>
        </w:tc>
        <w:tc>
          <w:tcPr>
            <w:tcW w:w="1417" w:type="dxa"/>
            <w:vAlign w:val="center"/>
          </w:tcPr>
          <w:p w14:paraId="5FDDCE5C">
            <w:pPr>
              <w:jc w:val="center"/>
            </w:pPr>
          </w:p>
        </w:tc>
        <w:tc>
          <w:tcPr>
            <w:tcW w:w="1417" w:type="dxa"/>
            <w:vAlign w:val="center"/>
          </w:tcPr>
          <w:p w14:paraId="0BA0E5D4">
            <w:pPr>
              <w:jc w:val="center"/>
            </w:pPr>
          </w:p>
        </w:tc>
      </w:tr>
      <w:tr w14:paraId="1D35A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4" w:type="dxa"/>
            <w:vAlign w:val="center"/>
          </w:tcPr>
          <w:p w14:paraId="5BCB076F">
            <w:pPr>
              <w:jc w:val="center"/>
            </w:pPr>
          </w:p>
        </w:tc>
        <w:tc>
          <w:tcPr>
            <w:tcW w:w="1701" w:type="dxa"/>
            <w:vAlign w:val="center"/>
          </w:tcPr>
          <w:p w14:paraId="462A8C99">
            <w:pPr>
              <w:jc w:val="center"/>
            </w:pPr>
          </w:p>
        </w:tc>
        <w:tc>
          <w:tcPr>
            <w:tcW w:w="1134" w:type="dxa"/>
            <w:vAlign w:val="center"/>
          </w:tcPr>
          <w:p w14:paraId="73E2837E">
            <w:pPr>
              <w:jc w:val="center"/>
            </w:pPr>
          </w:p>
        </w:tc>
        <w:tc>
          <w:tcPr>
            <w:tcW w:w="1417" w:type="dxa"/>
            <w:vAlign w:val="center"/>
          </w:tcPr>
          <w:p w14:paraId="062E98F1">
            <w:pPr>
              <w:jc w:val="center"/>
            </w:pPr>
          </w:p>
        </w:tc>
        <w:tc>
          <w:tcPr>
            <w:tcW w:w="1417" w:type="dxa"/>
            <w:vAlign w:val="center"/>
          </w:tcPr>
          <w:p w14:paraId="38C7FE79">
            <w:pPr>
              <w:jc w:val="center"/>
            </w:pPr>
          </w:p>
        </w:tc>
        <w:tc>
          <w:tcPr>
            <w:tcW w:w="1417" w:type="dxa"/>
            <w:vAlign w:val="center"/>
          </w:tcPr>
          <w:p w14:paraId="77031DC6">
            <w:pPr>
              <w:jc w:val="center"/>
            </w:pPr>
          </w:p>
        </w:tc>
      </w:tr>
      <w:tr w14:paraId="1899A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4" w:type="dxa"/>
            <w:vAlign w:val="center"/>
          </w:tcPr>
          <w:p w14:paraId="7FA37F09">
            <w:pPr>
              <w:jc w:val="center"/>
            </w:pPr>
          </w:p>
        </w:tc>
        <w:tc>
          <w:tcPr>
            <w:tcW w:w="1701" w:type="dxa"/>
            <w:vAlign w:val="center"/>
          </w:tcPr>
          <w:p w14:paraId="731CBB91">
            <w:pPr>
              <w:jc w:val="center"/>
            </w:pPr>
          </w:p>
        </w:tc>
        <w:tc>
          <w:tcPr>
            <w:tcW w:w="1134" w:type="dxa"/>
            <w:vAlign w:val="center"/>
          </w:tcPr>
          <w:p w14:paraId="74F73EEB">
            <w:pPr>
              <w:jc w:val="center"/>
            </w:pPr>
          </w:p>
        </w:tc>
        <w:tc>
          <w:tcPr>
            <w:tcW w:w="1417" w:type="dxa"/>
            <w:vAlign w:val="center"/>
          </w:tcPr>
          <w:p w14:paraId="784EF0E6">
            <w:pPr>
              <w:jc w:val="center"/>
            </w:pPr>
          </w:p>
        </w:tc>
        <w:tc>
          <w:tcPr>
            <w:tcW w:w="1417" w:type="dxa"/>
            <w:vAlign w:val="center"/>
          </w:tcPr>
          <w:p w14:paraId="71EE9EC2">
            <w:pPr>
              <w:jc w:val="center"/>
            </w:pPr>
          </w:p>
        </w:tc>
        <w:tc>
          <w:tcPr>
            <w:tcW w:w="1417" w:type="dxa"/>
            <w:vAlign w:val="center"/>
          </w:tcPr>
          <w:p w14:paraId="01A7B548">
            <w:pPr>
              <w:jc w:val="center"/>
            </w:pPr>
          </w:p>
        </w:tc>
      </w:tr>
      <w:tr w14:paraId="4B569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4" w:type="dxa"/>
            <w:vAlign w:val="center"/>
          </w:tcPr>
          <w:p w14:paraId="4F34F278">
            <w:pPr>
              <w:jc w:val="center"/>
            </w:pPr>
          </w:p>
        </w:tc>
        <w:tc>
          <w:tcPr>
            <w:tcW w:w="1701" w:type="dxa"/>
            <w:vAlign w:val="center"/>
          </w:tcPr>
          <w:p w14:paraId="6785F3B5">
            <w:pPr>
              <w:jc w:val="center"/>
            </w:pPr>
          </w:p>
        </w:tc>
        <w:tc>
          <w:tcPr>
            <w:tcW w:w="1134" w:type="dxa"/>
            <w:vAlign w:val="center"/>
          </w:tcPr>
          <w:p w14:paraId="692B718C">
            <w:pPr>
              <w:jc w:val="center"/>
            </w:pPr>
          </w:p>
        </w:tc>
        <w:tc>
          <w:tcPr>
            <w:tcW w:w="1417" w:type="dxa"/>
            <w:vAlign w:val="center"/>
          </w:tcPr>
          <w:p w14:paraId="04D91DA0">
            <w:pPr>
              <w:jc w:val="center"/>
            </w:pPr>
          </w:p>
        </w:tc>
        <w:tc>
          <w:tcPr>
            <w:tcW w:w="1417" w:type="dxa"/>
            <w:vAlign w:val="center"/>
          </w:tcPr>
          <w:p w14:paraId="7D0D0A52">
            <w:pPr>
              <w:jc w:val="center"/>
            </w:pPr>
          </w:p>
        </w:tc>
        <w:tc>
          <w:tcPr>
            <w:tcW w:w="1417" w:type="dxa"/>
            <w:vAlign w:val="center"/>
          </w:tcPr>
          <w:p w14:paraId="6582250E">
            <w:pPr>
              <w:jc w:val="center"/>
            </w:pPr>
          </w:p>
        </w:tc>
      </w:tr>
    </w:tbl>
    <w:p w14:paraId="7497219C"/>
    <w:p w14:paraId="44F644AE">
      <w:pPr>
        <w:spacing w:after="80" w:line="400" w:lineRule="exact"/>
        <w:ind w:firstLine="420"/>
        <w:rPr>
          <w:rFonts w:ascii="宋体" w:hAnsi="宋体" w:eastAsia="宋体"/>
          <w:b w:val="0"/>
          <w:sz w:val="24"/>
        </w:rPr>
      </w:pPr>
      <w:r>
        <w:rPr>
          <w:rFonts w:ascii="宋体" w:hAnsi="宋体" w:eastAsia="宋体"/>
          <w:b w:val="0"/>
          <w:sz w:val="24"/>
        </w:rPr>
        <w:t>注：须附合同复印件并加盖公章。</w:t>
      </w:r>
    </w:p>
    <w:p w14:paraId="289369BE">
      <w:pPr>
        <w:spacing w:after="80" w:line="400" w:lineRule="exact"/>
        <w:ind w:firstLine="420"/>
        <w:rPr>
          <w:rFonts w:ascii="宋体" w:hAnsi="宋体" w:eastAsia="宋体"/>
          <w:b w:val="0"/>
          <w:sz w:val="24"/>
        </w:rPr>
      </w:pPr>
    </w:p>
    <w:p w14:paraId="0D8D312F">
      <w:pPr>
        <w:spacing w:after="80" w:line="400" w:lineRule="exact"/>
        <w:ind w:firstLine="420"/>
        <w:rPr>
          <w:rFonts w:ascii="宋体" w:hAnsi="宋体" w:eastAsia="宋体"/>
          <w:b w:val="0"/>
          <w:sz w:val="24"/>
        </w:rPr>
      </w:pPr>
    </w:p>
    <w:p w14:paraId="6ED3E286">
      <w:pPr>
        <w:spacing w:after="80" w:line="400" w:lineRule="exact"/>
        <w:ind w:firstLine="420"/>
        <w:rPr>
          <w:rFonts w:ascii="宋体" w:hAnsi="宋体" w:eastAsia="宋体"/>
          <w:b w:val="0"/>
          <w:sz w:val="24"/>
        </w:rPr>
      </w:pPr>
    </w:p>
    <w:p w14:paraId="1C823879">
      <w:pPr>
        <w:spacing w:after="80" w:line="400" w:lineRule="exact"/>
        <w:ind w:firstLine="420"/>
        <w:rPr>
          <w:rFonts w:ascii="宋体" w:hAnsi="宋体" w:eastAsia="宋体"/>
          <w:b w:val="0"/>
          <w:sz w:val="24"/>
        </w:rPr>
      </w:pPr>
    </w:p>
    <w:p w14:paraId="2E4EC6A1">
      <w:pPr>
        <w:spacing w:after="80" w:line="400" w:lineRule="exact"/>
        <w:ind w:firstLine="420"/>
        <w:rPr>
          <w:rFonts w:ascii="宋体" w:hAnsi="宋体" w:eastAsia="宋体"/>
          <w:b w:val="0"/>
          <w:sz w:val="24"/>
        </w:rPr>
      </w:pPr>
    </w:p>
    <w:p w14:paraId="0110963F">
      <w:pPr>
        <w:spacing w:after="80" w:line="400" w:lineRule="exact"/>
        <w:ind w:firstLine="420"/>
        <w:rPr>
          <w:rFonts w:ascii="宋体" w:hAnsi="宋体" w:eastAsia="宋体"/>
          <w:b w:val="0"/>
          <w:sz w:val="24"/>
        </w:rPr>
      </w:pPr>
    </w:p>
    <w:p w14:paraId="295604E8">
      <w:pPr>
        <w:spacing w:after="80" w:line="400" w:lineRule="exact"/>
        <w:ind w:firstLine="420"/>
        <w:rPr>
          <w:rFonts w:ascii="宋体" w:hAnsi="宋体" w:eastAsia="宋体"/>
          <w:b w:val="0"/>
          <w:sz w:val="24"/>
        </w:rPr>
      </w:pPr>
    </w:p>
    <w:p w14:paraId="64A4E0BA">
      <w:pPr>
        <w:spacing w:after="80" w:line="400" w:lineRule="exact"/>
        <w:ind w:firstLine="420"/>
        <w:rPr>
          <w:rFonts w:ascii="宋体" w:hAnsi="宋体" w:eastAsia="宋体"/>
          <w:b w:val="0"/>
          <w:sz w:val="24"/>
        </w:rPr>
      </w:pPr>
    </w:p>
    <w:p w14:paraId="425CF026">
      <w:pPr>
        <w:spacing w:after="80" w:line="400" w:lineRule="exact"/>
        <w:ind w:firstLine="420"/>
        <w:rPr>
          <w:rFonts w:ascii="宋体" w:hAnsi="宋体" w:eastAsia="宋体"/>
          <w:b w:val="0"/>
          <w:sz w:val="24"/>
        </w:rPr>
      </w:pPr>
    </w:p>
    <w:p w14:paraId="29685C06">
      <w:pPr>
        <w:spacing w:after="80" w:line="400" w:lineRule="exact"/>
        <w:ind w:firstLine="420"/>
        <w:rPr>
          <w:rFonts w:ascii="宋体" w:hAnsi="宋体" w:eastAsia="宋体"/>
          <w:b w:val="0"/>
          <w:sz w:val="24"/>
        </w:rPr>
      </w:pPr>
    </w:p>
    <w:p w14:paraId="0EBE3B57">
      <w:pPr>
        <w:spacing w:after="80" w:line="400" w:lineRule="exact"/>
        <w:ind w:firstLine="420"/>
        <w:rPr>
          <w:rFonts w:ascii="宋体" w:hAnsi="宋体" w:eastAsia="宋体"/>
          <w:b w:val="0"/>
          <w:sz w:val="24"/>
        </w:rPr>
      </w:pPr>
    </w:p>
    <w:p w14:paraId="19AEA647">
      <w:pPr>
        <w:spacing w:after="80" w:line="400" w:lineRule="exact"/>
        <w:ind w:firstLine="420"/>
        <w:rPr>
          <w:rFonts w:ascii="宋体" w:hAnsi="宋体" w:eastAsia="宋体"/>
          <w:b w:val="0"/>
          <w:sz w:val="24"/>
        </w:rPr>
      </w:pPr>
    </w:p>
    <w:p w14:paraId="0EABA2CA">
      <w:pPr>
        <w:spacing w:after="80" w:line="400" w:lineRule="exact"/>
        <w:ind w:firstLine="420"/>
        <w:rPr>
          <w:rFonts w:ascii="宋体" w:hAnsi="宋体" w:eastAsia="宋体"/>
          <w:b w:val="0"/>
          <w:sz w:val="24"/>
        </w:rPr>
      </w:pPr>
    </w:p>
    <w:p w14:paraId="34DC9B64">
      <w:pPr>
        <w:spacing w:after="80" w:line="400" w:lineRule="exact"/>
        <w:ind w:firstLine="420"/>
        <w:rPr>
          <w:rFonts w:ascii="宋体" w:hAnsi="宋体" w:eastAsia="宋体"/>
          <w:b w:val="0"/>
          <w:sz w:val="24"/>
        </w:rPr>
      </w:pPr>
    </w:p>
    <w:p w14:paraId="73748858">
      <w:pPr>
        <w:spacing w:after="80" w:line="400" w:lineRule="exact"/>
        <w:ind w:firstLine="420"/>
        <w:rPr>
          <w:rFonts w:ascii="宋体" w:hAnsi="宋体" w:eastAsia="宋体"/>
          <w:b w:val="0"/>
          <w:sz w:val="24"/>
        </w:rPr>
      </w:pPr>
    </w:p>
    <w:p w14:paraId="2FA6610D">
      <w:pPr>
        <w:spacing w:after="80" w:line="400" w:lineRule="exact"/>
        <w:ind w:firstLine="0"/>
        <w:rPr>
          <w:rFonts w:hint="eastAsia"/>
          <w:b w:val="0"/>
          <w:sz w:val="24"/>
          <w:lang w:val="en-US" w:eastAsia="zh-CN"/>
        </w:rPr>
      </w:pPr>
      <w:r>
        <w:rPr>
          <w:rFonts w:hint="eastAsia"/>
          <w:b w:val="0"/>
          <w:sz w:val="24"/>
          <w:lang w:val="en-US" w:eastAsia="zh-CN"/>
        </w:rPr>
        <w:t>表8</w:t>
      </w:r>
    </w:p>
    <w:p w14:paraId="7347ABF7">
      <w:pPr>
        <w:jc w:val="center"/>
        <w:rPr>
          <w:rFonts w:hint="default" w:ascii="宋体" w:hAnsi="宋体" w:cs="宋体"/>
          <w:b/>
          <w:bCs/>
          <w:color w:val="000000"/>
          <w:sz w:val="24"/>
          <w:lang w:val="en-US" w:eastAsia="zh-CN"/>
        </w:rPr>
      </w:pPr>
      <w:r>
        <w:rPr>
          <w:rFonts w:hint="default" w:ascii="宋体" w:hAnsi="宋体" w:cs="宋体"/>
          <w:b/>
          <w:bCs/>
          <w:color w:val="000000"/>
          <w:sz w:val="24"/>
          <w:lang w:val="en-US" w:eastAsia="zh-CN"/>
        </w:rPr>
        <w:t>其他应比选人要求提供的证明材料</w:t>
      </w:r>
    </w:p>
    <w:p w14:paraId="59FDD395">
      <w:pPr>
        <w:spacing w:after="80" w:line="400" w:lineRule="exact"/>
        <w:ind w:firstLine="0"/>
        <w:rPr>
          <w:rFonts w:hint="default"/>
          <w:b w:val="0"/>
          <w:sz w:val="24"/>
          <w:lang w:val="en-US" w:eastAsia="zh-CN"/>
        </w:rPr>
      </w:pPr>
    </w:p>
    <w:sectPr>
      <w:footerReference r:id="rId5" w:type="default"/>
      <w:pgSz w:w="12240" w:h="15840"/>
      <w:pgMar w:top="1440" w:right="1797" w:bottom="1440" w:left="179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6A3F8">
    <w:pPr>
      <w:pStyle w:val="24"/>
      <w:jc w:val="center"/>
    </w:pPr>
    <w:r>
      <w:rPr>
        <w:rFonts w:ascii="宋体" w:hAnsi="宋体" w:eastAsia="宋体"/>
        <w:b w:val="0"/>
        <w:sz w:val="20"/>
      </w:rPr>
      <w:fldChar w:fldCharType="begin"/>
    </w:r>
    <w:r>
      <w:rPr>
        <w:rFonts w:ascii="宋体" w:hAnsi="宋体" w:eastAsia="宋体"/>
        <w:b w:val="0"/>
        <w:sz w:val="20"/>
      </w:rPr>
      <w:instrText xml:space="preserve"> PAGE </w:instrText>
    </w:r>
    <w:r>
      <w:rPr>
        <w:rFonts w:ascii="宋体" w:hAnsi="宋体" w:eastAsia="宋体"/>
        <w:b w:val="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abstractNum w:abstractNumId="6">
    <w:nsid w:val="00000000"/>
    <w:multiLevelType w:val="singleLevel"/>
    <w:tmpl w:val="00000000"/>
    <w:lvl w:ilvl="0" w:tentative="0">
      <w:start w:val="1"/>
      <w:numFmt w:val="chineseCounting"/>
      <w:suff w:val="nothing"/>
      <w:lvlText w:val="%1、"/>
      <w:lvlJc w:val="left"/>
      <w:rPr>
        <w:rFonts w:hint="eastAsia"/>
      </w:rPr>
    </w:lvl>
  </w:abstractNum>
  <w:abstractNum w:abstractNumId="7">
    <w:nsid w:val="00000003"/>
    <w:multiLevelType w:val="singleLevel"/>
    <w:tmpl w:val="00000003"/>
    <w:lvl w:ilvl="0" w:tentative="0">
      <w:start w:val="1"/>
      <w:numFmt w:val="decimalEnclosedCircleChinese"/>
      <w:suff w:val="nothing"/>
      <w:lvlText w:val="%1　"/>
      <w:lvlJc w:val="left"/>
      <w:pPr>
        <w:ind w:left="3224" w:firstLine="400"/>
      </w:pPr>
      <w:rPr>
        <w:rFonts w:hint="eastAsia"/>
      </w:rPr>
    </w:lvl>
  </w:abstractNum>
  <w:abstractNum w:abstractNumId="8">
    <w:nsid w:val="00000004"/>
    <w:multiLevelType w:val="singleLevel"/>
    <w:tmpl w:val="00000004"/>
    <w:lvl w:ilvl="0" w:tentative="0">
      <w:start w:val="1"/>
      <w:numFmt w:val="decimalEnclosedCircleChinese"/>
      <w:suff w:val="nothing"/>
      <w:lvlText w:val="%1　"/>
      <w:lvlJc w:val="left"/>
      <w:pPr>
        <w:ind w:left="2940" w:firstLine="400"/>
      </w:pPr>
      <w:rPr>
        <w:rFonts w:hint="eastAsia"/>
      </w:rPr>
    </w:lvl>
  </w:abstractNum>
  <w:abstractNum w:abstractNumId="9">
    <w:nsid w:val="00000005"/>
    <w:multiLevelType w:val="singleLevel"/>
    <w:tmpl w:val="00000005"/>
    <w:lvl w:ilvl="0" w:tentative="0">
      <w:start w:val="1"/>
      <w:numFmt w:val="decimalEnclosedCircleChinese"/>
      <w:suff w:val="nothing"/>
      <w:lvlText w:val="%1　"/>
      <w:lvlJc w:val="left"/>
      <w:pPr>
        <w:ind w:left="2940" w:firstLine="400"/>
      </w:pPr>
      <w:rPr>
        <w:rFonts w:hint="eastAsia"/>
      </w:rPr>
    </w:lvl>
  </w:abstractNum>
  <w:abstractNum w:abstractNumId="10">
    <w:nsid w:val="00000006"/>
    <w:multiLevelType w:val="singleLevel"/>
    <w:tmpl w:val="00000006"/>
    <w:lvl w:ilvl="0" w:tentative="0">
      <w:start w:val="1"/>
      <w:numFmt w:val="decimalEnclosedCircleChinese"/>
      <w:suff w:val="nothing"/>
      <w:lvlText w:val="%1　"/>
      <w:lvlJc w:val="left"/>
      <w:pPr>
        <w:ind w:left="2940" w:firstLine="400"/>
      </w:pPr>
      <w:rPr>
        <w:rFonts w:hint="eastAsia"/>
      </w:rPr>
    </w:lvl>
  </w:abstractNum>
  <w:abstractNum w:abstractNumId="11">
    <w:nsid w:val="0000000A"/>
    <w:multiLevelType w:val="singleLevel"/>
    <w:tmpl w:val="0000000A"/>
    <w:lvl w:ilvl="0" w:tentative="0">
      <w:start w:val="1"/>
      <w:numFmt w:val="decimalEnclosedCircleChinese"/>
      <w:suff w:val="nothing"/>
      <w:lvlText w:val="%1　"/>
      <w:lvlJc w:val="left"/>
      <w:pPr>
        <w:ind w:left="2940" w:firstLine="400"/>
      </w:pPr>
      <w:rPr>
        <w:rFonts w:hint="eastAsia"/>
      </w:rPr>
    </w:lvl>
  </w:abstractNum>
  <w:abstractNum w:abstractNumId="12">
    <w:nsid w:val="0000000F"/>
    <w:multiLevelType w:val="singleLevel"/>
    <w:tmpl w:val="0000000F"/>
    <w:lvl w:ilvl="0" w:tentative="0">
      <w:start w:val="1"/>
      <w:numFmt w:val="decimal"/>
      <w:suff w:val="nothing"/>
      <w:lvlText w:val="%1、"/>
      <w:lvlJc w:val="left"/>
    </w:lvl>
  </w:abstractNum>
  <w:abstractNum w:abstractNumId="13">
    <w:nsid w:val="00000011"/>
    <w:multiLevelType w:val="singleLevel"/>
    <w:tmpl w:val="00000011"/>
    <w:lvl w:ilvl="0" w:tentative="0">
      <w:start w:val="1"/>
      <w:numFmt w:val="decimal"/>
      <w:suff w:val="nothing"/>
      <w:lvlText w:val="%1、"/>
      <w:lvlJc w:val="left"/>
    </w:lvl>
  </w:abstractNum>
  <w:abstractNum w:abstractNumId="14">
    <w:nsid w:val="00000015"/>
    <w:multiLevelType w:val="singleLevel"/>
    <w:tmpl w:val="00000015"/>
    <w:lvl w:ilvl="0" w:tentative="0">
      <w:start w:val="1"/>
      <w:numFmt w:val="decimal"/>
      <w:suff w:val="nothing"/>
      <w:lvlText w:val="%1、"/>
      <w:lvlJc w:val="left"/>
    </w:lvl>
  </w:abstractNum>
  <w:abstractNum w:abstractNumId="15">
    <w:nsid w:val="00000016"/>
    <w:multiLevelType w:val="singleLevel"/>
    <w:tmpl w:val="00000016"/>
    <w:lvl w:ilvl="0" w:tentative="0">
      <w:start w:val="1"/>
      <w:numFmt w:val="decimalEnclosedCircleChinese"/>
      <w:suff w:val="nothing"/>
      <w:lvlText w:val="%1　"/>
      <w:lvlJc w:val="left"/>
      <w:pPr>
        <w:ind w:left="2940" w:firstLine="400"/>
      </w:pPr>
      <w:rPr>
        <w:rFonts w:hint="eastAsia"/>
      </w:rPr>
    </w:lvl>
  </w:abstractNum>
  <w:abstractNum w:abstractNumId="16">
    <w:nsid w:val="0000001A"/>
    <w:multiLevelType w:val="multilevel"/>
    <w:tmpl w:val="0000001A"/>
    <w:lvl w:ilvl="0" w:tentative="0">
      <w:start w:val="1"/>
      <w:numFmt w:val="decimal"/>
      <w:suff w:val="nothing"/>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7">
    <w:nsid w:val="0000001B"/>
    <w:multiLevelType w:val="singleLevel"/>
    <w:tmpl w:val="0000001B"/>
    <w:lvl w:ilvl="0" w:tentative="0">
      <w:start w:val="1"/>
      <w:numFmt w:val="decimal"/>
      <w:suff w:val="nothing"/>
      <w:lvlText w:val="%1、"/>
      <w:lvlJc w:val="left"/>
    </w:lvl>
  </w:abstractNum>
  <w:abstractNum w:abstractNumId="18">
    <w:nsid w:val="0000001E"/>
    <w:multiLevelType w:val="singleLevel"/>
    <w:tmpl w:val="0000001E"/>
    <w:lvl w:ilvl="0" w:tentative="0">
      <w:start w:val="1"/>
      <w:numFmt w:val="bullet"/>
      <w:lvlText w:val=""/>
      <w:lvlJc w:val="left"/>
      <w:pPr>
        <w:tabs>
          <w:tab w:val="left" w:pos="420"/>
        </w:tabs>
        <w:ind w:left="840" w:hanging="420"/>
      </w:pPr>
      <w:rPr>
        <w:rFonts w:hint="default" w:ascii="Wingdings" w:hAnsi="Wingdings"/>
      </w:rPr>
    </w:lvl>
  </w:abstractNum>
  <w:abstractNum w:abstractNumId="19">
    <w:nsid w:val="00000021"/>
    <w:multiLevelType w:val="singleLevel"/>
    <w:tmpl w:val="00000021"/>
    <w:lvl w:ilvl="0" w:tentative="0">
      <w:start w:val="1"/>
      <w:numFmt w:val="chineseCounting"/>
      <w:suff w:val="space"/>
      <w:lvlText w:val="第%1条"/>
      <w:lvlJc w:val="left"/>
    </w:lvl>
  </w:abstractNum>
  <w:abstractNum w:abstractNumId="20">
    <w:nsid w:val="00000022"/>
    <w:multiLevelType w:val="singleLevel"/>
    <w:tmpl w:val="00000022"/>
    <w:lvl w:ilvl="0" w:tentative="0">
      <w:start w:val="1"/>
      <w:numFmt w:val="decimal"/>
      <w:suff w:val="nothing"/>
      <w:lvlText w:val="%1、"/>
      <w:lvlJc w:val="left"/>
    </w:lvl>
  </w:abstractNum>
  <w:abstractNum w:abstractNumId="21">
    <w:nsid w:val="00000023"/>
    <w:multiLevelType w:val="singleLevel"/>
    <w:tmpl w:val="00000023"/>
    <w:lvl w:ilvl="0" w:tentative="0">
      <w:start w:val="1"/>
      <w:numFmt w:val="decimalEnclosedCircleChinese"/>
      <w:suff w:val="nothing"/>
      <w:lvlText w:val="%1　"/>
      <w:lvlJc w:val="left"/>
      <w:pPr>
        <w:ind w:left="2940" w:firstLine="400"/>
      </w:pPr>
      <w:rPr>
        <w:rFonts w:hint="eastAsia"/>
      </w:rPr>
    </w:lvl>
  </w:abstractNum>
  <w:abstractNum w:abstractNumId="22">
    <w:nsid w:val="0000002A"/>
    <w:multiLevelType w:val="singleLevel"/>
    <w:tmpl w:val="0000002A"/>
    <w:lvl w:ilvl="0" w:tentative="0">
      <w:start w:val="1"/>
      <w:numFmt w:val="decimalEnclosedCircleChinese"/>
      <w:suff w:val="nothing"/>
      <w:lvlText w:val="%1　"/>
      <w:lvlJc w:val="left"/>
      <w:pPr>
        <w:ind w:left="2940" w:firstLine="400"/>
      </w:pPr>
      <w:rPr>
        <w:rFonts w:hint="eastAsia"/>
      </w:rPr>
    </w:lvl>
  </w:abstractNum>
  <w:abstractNum w:abstractNumId="23">
    <w:nsid w:val="248F98E2"/>
    <w:multiLevelType w:val="singleLevel"/>
    <w:tmpl w:val="248F98E2"/>
    <w:lvl w:ilvl="0" w:tentative="0">
      <w:start w:val="1"/>
      <w:numFmt w:val="chineseCounting"/>
      <w:suff w:val="nothing"/>
      <w:lvlText w:val="%1、"/>
      <w:lvlJc w:val="left"/>
      <w:pPr>
        <w:ind w:left="0" w:firstLine="420"/>
      </w:pPr>
      <w:rPr>
        <w:rFonts w:hint="eastAsia"/>
      </w:rPr>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16"/>
  </w:num>
  <w:num w:numId="8">
    <w:abstractNumId w:val="9"/>
  </w:num>
  <w:num w:numId="9">
    <w:abstractNumId w:val="15"/>
  </w:num>
  <w:num w:numId="10">
    <w:abstractNumId w:val="18"/>
  </w:num>
  <w:num w:numId="11">
    <w:abstractNumId w:val="10"/>
  </w:num>
  <w:num w:numId="12">
    <w:abstractNumId w:val="7"/>
  </w:num>
  <w:num w:numId="13">
    <w:abstractNumId w:val="11"/>
  </w:num>
  <w:num w:numId="14">
    <w:abstractNumId w:val="22"/>
  </w:num>
  <w:num w:numId="15">
    <w:abstractNumId w:val="8"/>
  </w:num>
  <w:num w:numId="16">
    <w:abstractNumId w:val="21"/>
  </w:num>
  <w:num w:numId="17">
    <w:abstractNumId w:val="19"/>
  </w:num>
  <w:num w:numId="18">
    <w:abstractNumId w:val="20"/>
  </w:num>
  <w:num w:numId="19">
    <w:abstractNumId w:val="6"/>
  </w:num>
  <w:num w:numId="20">
    <w:abstractNumId w:val="14"/>
  </w:num>
  <w:num w:numId="21">
    <w:abstractNumId w:val="17"/>
  </w:num>
  <w:num w:numId="22">
    <w:abstractNumId w:val="12"/>
  </w:num>
  <w:num w:numId="23">
    <w:abstractNumId w:val="1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E52F76"/>
    <w:rsid w:val="00FC693F"/>
    <w:rsid w:val="01B12E58"/>
    <w:rsid w:val="025A529E"/>
    <w:rsid w:val="03253DD1"/>
    <w:rsid w:val="036363D4"/>
    <w:rsid w:val="037800D1"/>
    <w:rsid w:val="03A013D6"/>
    <w:rsid w:val="03C317DD"/>
    <w:rsid w:val="063B67C0"/>
    <w:rsid w:val="06F51C6F"/>
    <w:rsid w:val="083E3B8F"/>
    <w:rsid w:val="09300B06"/>
    <w:rsid w:val="0B2E376B"/>
    <w:rsid w:val="0CBB102F"/>
    <w:rsid w:val="0CE20369"/>
    <w:rsid w:val="0D185287"/>
    <w:rsid w:val="0D205020"/>
    <w:rsid w:val="107C6D27"/>
    <w:rsid w:val="10F44B0F"/>
    <w:rsid w:val="114356CC"/>
    <w:rsid w:val="11AC0F46"/>
    <w:rsid w:val="11D97709"/>
    <w:rsid w:val="17902473"/>
    <w:rsid w:val="1A512FD2"/>
    <w:rsid w:val="1B9576CD"/>
    <w:rsid w:val="1C765141"/>
    <w:rsid w:val="1F396B0D"/>
    <w:rsid w:val="1F9D6372"/>
    <w:rsid w:val="1FAE5474"/>
    <w:rsid w:val="20A563AA"/>
    <w:rsid w:val="20E92D0F"/>
    <w:rsid w:val="2183778C"/>
    <w:rsid w:val="21A32365"/>
    <w:rsid w:val="22E83DA8"/>
    <w:rsid w:val="246C4F75"/>
    <w:rsid w:val="25B4065F"/>
    <w:rsid w:val="25C40AFC"/>
    <w:rsid w:val="25F018F1"/>
    <w:rsid w:val="26015F94"/>
    <w:rsid w:val="268F4C66"/>
    <w:rsid w:val="26E52AD8"/>
    <w:rsid w:val="2737287E"/>
    <w:rsid w:val="277976C4"/>
    <w:rsid w:val="29171565"/>
    <w:rsid w:val="2DCA0151"/>
    <w:rsid w:val="2FD9510B"/>
    <w:rsid w:val="30AE4883"/>
    <w:rsid w:val="31774C75"/>
    <w:rsid w:val="32035262"/>
    <w:rsid w:val="3277721B"/>
    <w:rsid w:val="32C83AE6"/>
    <w:rsid w:val="336079A8"/>
    <w:rsid w:val="345968B4"/>
    <w:rsid w:val="348A4CBF"/>
    <w:rsid w:val="35B46497"/>
    <w:rsid w:val="37D25FD4"/>
    <w:rsid w:val="397A1489"/>
    <w:rsid w:val="3A4A561C"/>
    <w:rsid w:val="3B790951"/>
    <w:rsid w:val="3C6B65E4"/>
    <w:rsid w:val="3CE21B3C"/>
    <w:rsid w:val="3D1D02A0"/>
    <w:rsid w:val="3E5D35A1"/>
    <w:rsid w:val="3ECA0ADA"/>
    <w:rsid w:val="43283A32"/>
    <w:rsid w:val="453F1E21"/>
    <w:rsid w:val="478D4D9A"/>
    <w:rsid w:val="484A2C8B"/>
    <w:rsid w:val="487D6BBD"/>
    <w:rsid w:val="4894392C"/>
    <w:rsid w:val="4B3C67D0"/>
    <w:rsid w:val="50D91050"/>
    <w:rsid w:val="51892452"/>
    <w:rsid w:val="52FA3CFA"/>
    <w:rsid w:val="54815C87"/>
    <w:rsid w:val="54F729AA"/>
    <w:rsid w:val="59A85A64"/>
    <w:rsid w:val="5A3A490E"/>
    <w:rsid w:val="5A9F523D"/>
    <w:rsid w:val="5B8D6CBF"/>
    <w:rsid w:val="5D3B5460"/>
    <w:rsid w:val="621B399D"/>
    <w:rsid w:val="626B71FE"/>
    <w:rsid w:val="65B17A4E"/>
    <w:rsid w:val="66B73214"/>
    <w:rsid w:val="66D24120"/>
    <w:rsid w:val="68F24605"/>
    <w:rsid w:val="696D1EDE"/>
    <w:rsid w:val="6A843983"/>
    <w:rsid w:val="6BEE7306"/>
    <w:rsid w:val="6C04169F"/>
    <w:rsid w:val="6C540CCD"/>
    <w:rsid w:val="6D7813AB"/>
    <w:rsid w:val="6D8F04BE"/>
    <w:rsid w:val="7089353E"/>
    <w:rsid w:val="71EA67C2"/>
    <w:rsid w:val="72824C4C"/>
    <w:rsid w:val="735A1ECE"/>
    <w:rsid w:val="73CD0149"/>
    <w:rsid w:val="767332BE"/>
    <w:rsid w:val="7A287E87"/>
    <w:rsid w:val="7BC978FF"/>
    <w:rsid w:val="7C3A3BE2"/>
    <w:rsid w:val="7D284642"/>
    <w:rsid w:val="7E8B7A83"/>
    <w:rsid w:val="7F581C8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宋体" w:hAnsi="宋体" w:eastAsia="宋体" w:cs="Times New Roman"/>
      <w:sz w:val="24"/>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Calibri" w:hAnsi="Calibri" w:eastAsia="MS Gothic" w:cs="Times New Roman"/>
      <w:b/>
      <w:bCs/>
      <w:color w:val="366091"/>
      <w:sz w:val="28"/>
      <w:szCs w:val="28"/>
    </w:rPr>
  </w:style>
  <w:style w:type="paragraph" w:styleId="4">
    <w:name w:val="heading 2"/>
    <w:basedOn w:val="1"/>
    <w:next w:val="1"/>
    <w:link w:val="140"/>
    <w:unhideWhenUsed/>
    <w:qFormat/>
    <w:uiPriority w:val="9"/>
    <w:pPr>
      <w:keepNext/>
      <w:keepLines/>
      <w:spacing w:before="200" w:after="0"/>
      <w:outlineLvl w:val="1"/>
    </w:pPr>
    <w:rPr>
      <w:rFonts w:ascii="Calibri" w:hAnsi="Calibri" w:eastAsia="MS Gothic" w:cs="Times New Roman"/>
      <w:b/>
      <w:bCs/>
      <w:color w:val="4F81BD"/>
      <w:sz w:val="26"/>
      <w:szCs w:val="26"/>
    </w:rPr>
  </w:style>
  <w:style w:type="paragraph" w:styleId="5">
    <w:name w:val="heading 3"/>
    <w:basedOn w:val="1"/>
    <w:next w:val="1"/>
    <w:link w:val="141"/>
    <w:unhideWhenUsed/>
    <w:qFormat/>
    <w:uiPriority w:val="9"/>
    <w:pPr>
      <w:keepNext/>
      <w:keepLines/>
      <w:spacing w:before="200" w:after="0"/>
      <w:outlineLvl w:val="2"/>
    </w:pPr>
    <w:rPr>
      <w:rFonts w:ascii="Calibri" w:hAnsi="Calibri" w:eastAsia="MS Gothic" w:cs="Times New Roman"/>
      <w:b/>
      <w:bCs/>
      <w:color w:val="4F81BD"/>
    </w:rPr>
  </w:style>
  <w:style w:type="paragraph" w:styleId="6">
    <w:name w:val="heading 4"/>
    <w:basedOn w:val="1"/>
    <w:next w:val="1"/>
    <w:link w:val="151"/>
    <w:semiHidden/>
    <w:unhideWhenUsed/>
    <w:qFormat/>
    <w:uiPriority w:val="9"/>
    <w:pPr>
      <w:keepNext/>
      <w:keepLines/>
      <w:spacing w:before="200" w:after="0"/>
      <w:outlineLvl w:val="3"/>
    </w:pPr>
    <w:rPr>
      <w:rFonts w:ascii="Calibri" w:hAnsi="Calibri" w:eastAsia="MS Gothic" w:cs="Times New Roman"/>
      <w:b/>
      <w:bCs/>
      <w:i/>
      <w:iCs/>
      <w:color w:val="4F81BD"/>
    </w:rPr>
  </w:style>
  <w:style w:type="paragraph" w:styleId="7">
    <w:name w:val="heading 5"/>
    <w:basedOn w:val="1"/>
    <w:next w:val="1"/>
    <w:link w:val="152"/>
    <w:semiHidden/>
    <w:unhideWhenUsed/>
    <w:qFormat/>
    <w:uiPriority w:val="9"/>
    <w:pPr>
      <w:keepNext/>
      <w:keepLines/>
      <w:spacing w:before="200" w:after="0"/>
      <w:outlineLvl w:val="4"/>
    </w:pPr>
    <w:rPr>
      <w:rFonts w:ascii="Calibri" w:hAnsi="Calibri" w:eastAsia="MS Gothic" w:cs="Times New Roman"/>
      <w:color w:val="244061"/>
    </w:rPr>
  </w:style>
  <w:style w:type="paragraph" w:styleId="8">
    <w:name w:val="heading 6"/>
    <w:basedOn w:val="1"/>
    <w:next w:val="1"/>
    <w:link w:val="153"/>
    <w:semiHidden/>
    <w:unhideWhenUsed/>
    <w:qFormat/>
    <w:uiPriority w:val="9"/>
    <w:pPr>
      <w:keepNext/>
      <w:keepLines/>
      <w:spacing w:before="200" w:after="0"/>
      <w:outlineLvl w:val="5"/>
    </w:pPr>
    <w:rPr>
      <w:rFonts w:ascii="Calibri" w:hAnsi="Calibri" w:eastAsia="MS Gothic" w:cs="Times New Roman"/>
      <w:i/>
      <w:iCs/>
      <w:color w:val="244061"/>
    </w:rPr>
  </w:style>
  <w:style w:type="paragraph" w:styleId="9">
    <w:name w:val="heading 7"/>
    <w:basedOn w:val="1"/>
    <w:next w:val="1"/>
    <w:link w:val="154"/>
    <w:semiHidden/>
    <w:unhideWhenUsed/>
    <w:qFormat/>
    <w:uiPriority w:val="9"/>
    <w:pPr>
      <w:keepNext/>
      <w:keepLines/>
      <w:spacing w:before="200" w:after="0"/>
      <w:outlineLvl w:val="6"/>
    </w:pPr>
    <w:rPr>
      <w:rFonts w:ascii="Calibri" w:hAnsi="Calibri" w:eastAsia="MS Gothic" w:cs="Times New Roman"/>
      <w:i/>
      <w:iCs/>
      <w:color w:val="3F3F3F"/>
    </w:rPr>
  </w:style>
  <w:style w:type="paragraph" w:styleId="10">
    <w:name w:val="heading 8"/>
    <w:basedOn w:val="1"/>
    <w:next w:val="1"/>
    <w:link w:val="155"/>
    <w:semiHidden/>
    <w:unhideWhenUsed/>
    <w:qFormat/>
    <w:uiPriority w:val="9"/>
    <w:pPr>
      <w:keepNext/>
      <w:keepLines/>
      <w:spacing w:before="200" w:after="0"/>
      <w:outlineLvl w:val="7"/>
    </w:pPr>
    <w:rPr>
      <w:rFonts w:ascii="Calibri" w:hAnsi="Calibri" w:eastAsia="MS Gothic" w:cs="Times New Roman"/>
      <w:color w:val="4F81BD"/>
      <w:sz w:val="20"/>
      <w:szCs w:val="20"/>
    </w:rPr>
  </w:style>
  <w:style w:type="paragraph" w:styleId="11">
    <w:name w:val="heading 9"/>
    <w:basedOn w:val="1"/>
    <w:next w:val="1"/>
    <w:link w:val="156"/>
    <w:semiHidden/>
    <w:unhideWhenUsed/>
    <w:qFormat/>
    <w:uiPriority w:val="9"/>
    <w:pPr>
      <w:keepNext/>
      <w:keepLines/>
      <w:spacing w:before="200" w:after="0"/>
      <w:outlineLvl w:val="8"/>
    </w:pPr>
    <w:rPr>
      <w:rFonts w:ascii="Calibri" w:hAnsi="Calibri" w:eastAsia="MS Gothic" w:cs="Times New Roman"/>
      <w:i/>
      <w:iCs/>
      <w:color w:val="3F3F3F"/>
      <w:sz w:val="20"/>
      <w:szCs w:val="20"/>
    </w:rPr>
  </w:style>
  <w:style w:type="character" w:default="1" w:styleId="133">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ＭＳ 明朝" w:cs="Times New Roman"/>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sz w:val="18"/>
      <w:szCs w:val="18"/>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7"/>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unhideWhenUsed/>
    <w:qFormat/>
    <w:uiPriority w:val="99"/>
    <w:pPr>
      <w:tabs>
        <w:tab w:val="center" w:pos="4680"/>
        <w:tab w:val="right" w:pos="9360"/>
      </w:tabs>
      <w:spacing w:after="0" w:line="240" w:lineRule="auto"/>
    </w:pPr>
  </w:style>
  <w:style w:type="paragraph" w:styleId="25">
    <w:name w:val="header"/>
    <w:basedOn w:val="1"/>
    <w:link w:val="136"/>
    <w:unhideWhenUsed/>
    <w:qFormat/>
    <w:uiPriority w:val="99"/>
    <w:pPr>
      <w:tabs>
        <w:tab w:val="center" w:pos="4680"/>
        <w:tab w:val="right" w:pos="9360"/>
      </w:tabs>
      <w:spacing w:after="0" w:line="240" w:lineRule="auto"/>
    </w:pPr>
  </w:style>
  <w:style w:type="paragraph" w:styleId="26">
    <w:name w:val="Subtitle"/>
    <w:basedOn w:val="1"/>
    <w:next w:val="1"/>
    <w:link w:val="143"/>
    <w:qFormat/>
    <w:uiPriority w:val="11"/>
    <w:rPr>
      <w:rFonts w:ascii="Calibri" w:hAnsi="Calibri" w:eastAsia="MS Gothic" w:cs="Times New Roman"/>
      <w:i/>
      <w:iCs/>
      <w:color w:val="4F81BD"/>
      <w:spacing w:val="15"/>
      <w:sz w:val="24"/>
      <w:szCs w:val="24"/>
    </w:rPr>
  </w:style>
  <w:style w:type="paragraph" w:styleId="27">
    <w:name w:val="List"/>
    <w:basedOn w:val="1"/>
    <w:unhideWhenUsed/>
    <w:qFormat/>
    <w:uiPriority w:val="99"/>
    <w:pPr>
      <w:ind w:left="360" w:hanging="360"/>
      <w:contextualSpacing/>
    </w:pPr>
  </w:style>
  <w:style w:type="paragraph" w:styleId="28">
    <w:name w:val="Body Text 2"/>
    <w:basedOn w:val="1"/>
    <w:link w:val="146"/>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Normal (Web)"/>
    <w:basedOn w:val="1"/>
    <w:qFormat/>
    <w:uiPriority w:val="99"/>
    <w:pPr>
      <w:widowControl/>
      <w:spacing w:before="100" w:beforeAutospacing="1" w:after="100" w:afterAutospacing="1"/>
      <w:jc w:val="left"/>
    </w:pPr>
    <w:rPr>
      <w:rFonts w:ascii="宋体" w:hAnsi="宋体"/>
      <w:kern w:val="0"/>
      <w:sz w:val="24"/>
    </w:rPr>
  </w:style>
  <w:style w:type="paragraph" w:styleId="31">
    <w:name w:val="List Continue 3"/>
    <w:basedOn w:val="1"/>
    <w:unhideWhenUsed/>
    <w:qFormat/>
    <w:uiPriority w:val="99"/>
    <w:pPr>
      <w:spacing w:after="120"/>
      <w:ind w:left="1080"/>
      <w:contextualSpacing/>
    </w:pPr>
  </w:style>
  <w:style w:type="paragraph" w:styleId="32">
    <w:name w:val="Title"/>
    <w:basedOn w:val="1"/>
    <w:next w:val="1"/>
    <w:link w:val="142"/>
    <w:qFormat/>
    <w:uiPriority w:val="10"/>
    <w:pPr>
      <w:pBdr>
        <w:bottom w:val="single" w:color="4F81BD" w:sz="8" w:space="4"/>
      </w:pBdr>
      <w:spacing w:after="300" w:line="240" w:lineRule="auto"/>
      <w:contextualSpacing/>
    </w:pPr>
    <w:rPr>
      <w:rFonts w:ascii="Calibri" w:hAnsi="Calibri" w:eastAsia="MS Gothic" w:cs="Times New Roman"/>
      <w:color w:val="17365D"/>
      <w:spacing w:val="5"/>
      <w:kern w:val="28"/>
      <w:sz w:val="52"/>
      <w:szCs w:val="52"/>
    </w:rPr>
  </w:style>
  <w:style w:type="table" w:styleId="34">
    <w:name w:val="Table Grid"/>
    <w:basedOn w:val="3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5">
    <w:name w:val="Light Shading"/>
    <w:basedOn w:val="33"/>
    <w:qFormat/>
    <w:uiPriority w:val="60"/>
    <w:pPr>
      <w:spacing w:after="0" w:line="240" w:lineRule="auto"/>
    </w:pPr>
    <w:rPr>
      <w:color w:val="000000"/>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table" w:styleId="36">
    <w:name w:val="Light Shading Accent 1"/>
    <w:basedOn w:val="33"/>
    <w:qFormat/>
    <w:uiPriority w:val="60"/>
    <w:pPr>
      <w:spacing w:after="0" w:line="240" w:lineRule="auto"/>
    </w:pPr>
    <w:rPr>
      <w:color w:val="366091"/>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37">
    <w:name w:val="Light Shading Accent 2"/>
    <w:basedOn w:val="33"/>
    <w:qFormat/>
    <w:uiPriority w:val="60"/>
    <w:pPr>
      <w:spacing w:after="0" w:line="240" w:lineRule="auto"/>
    </w:pPr>
    <w:rPr>
      <w:color w:val="943734"/>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cPr>
    </w:tblStylePr>
    <w:tblStylePr w:type="band1Horz">
      <w:tblPr/>
      <w:tcPr>
        <w:tcBorders>
          <w:left w:val="nil"/>
          <w:right w:val="nil"/>
          <w:insideH w:val="nil"/>
          <w:insideV w:val="nil"/>
        </w:tcBorders>
        <w:shd w:val="clear" w:color="auto" w:fill="EFD3D3"/>
      </w:tcPr>
    </w:tblStylePr>
  </w:style>
  <w:style w:type="table" w:styleId="38">
    <w:name w:val="Light Shading Accent 3"/>
    <w:basedOn w:val="33"/>
    <w:qFormat/>
    <w:uiPriority w:val="60"/>
    <w:pPr>
      <w:spacing w:after="0" w:line="240" w:lineRule="auto"/>
    </w:pPr>
    <w:rPr>
      <w:color w:val="76923C"/>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39">
    <w:name w:val="Light Shading Accent 4"/>
    <w:basedOn w:val="33"/>
    <w:qFormat/>
    <w:uiPriority w:val="60"/>
    <w:pPr>
      <w:spacing w:after="0" w:line="240" w:lineRule="auto"/>
    </w:pPr>
    <w:rPr>
      <w:color w:val="5F497A"/>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40">
    <w:name w:val="Light Shading Accent 5"/>
    <w:basedOn w:val="33"/>
    <w:qFormat/>
    <w:uiPriority w:val="60"/>
    <w:pPr>
      <w:spacing w:after="0" w:line="240" w:lineRule="auto"/>
    </w:pPr>
    <w:rPr>
      <w:color w:val="31849B"/>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cPr>
    </w:tblStylePr>
    <w:tblStylePr w:type="band1Horz">
      <w:tblPr/>
      <w:tcPr>
        <w:tcBorders>
          <w:left w:val="nil"/>
          <w:right w:val="nil"/>
          <w:insideH w:val="nil"/>
          <w:insideV w:val="nil"/>
        </w:tcBorders>
        <w:shd w:val="clear" w:color="auto" w:fill="D2EAF0"/>
      </w:tcPr>
    </w:tblStylePr>
  </w:style>
  <w:style w:type="table" w:styleId="41">
    <w:name w:val="Light Shading Accent 6"/>
    <w:basedOn w:val="33"/>
    <w:qFormat/>
    <w:uiPriority w:val="60"/>
    <w:pPr>
      <w:spacing w:after="0" w:line="240" w:lineRule="auto"/>
    </w:pPr>
    <w:rPr>
      <w:color w:val="E36C09"/>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cPr>
    </w:tblStylePr>
    <w:tblStylePr w:type="band1Horz">
      <w:tblPr/>
      <w:tcPr>
        <w:tcBorders>
          <w:left w:val="nil"/>
          <w:right w:val="nil"/>
          <w:insideH w:val="nil"/>
          <w:insideV w:val="nil"/>
        </w:tcBorders>
        <w:shd w:val="clear" w:color="auto" w:fill="FDE5D1"/>
      </w:tcPr>
    </w:tblStylePr>
  </w:style>
  <w:style w:type="table" w:styleId="42">
    <w:name w:val="Light List"/>
    <w:basedOn w:val="33"/>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43">
    <w:name w:val="Light List Accent 1"/>
    <w:basedOn w:val="33"/>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44">
    <w:name w:val="Light List Accent 2"/>
    <w:basedOn w:val="33"/>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45">
    <w:name w:val="Light List Accent 3"/>
    <w:basedOn w:val="33"/>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46">
    <w:name w:val="Light List Accent 4"/>
    <w:basedOn w:val="33"/>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47">
    <w:name w:val="Light List Accent 5"/>
    <w:basedOn w:val="33"/>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48">
    <w:name w:val="Light List Accent 6"/>
    <w:basedOn w:val="33"/>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49">
    <w:name w:val="Light Grid"/>
    <w:basedOn w:val="33"/>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Times New Roman"/>
        <w:b/>
        <w:bCs/>
      </w:rPr>
      <w:tbl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Calibri" w:hAnsi="Calibri" w:eastAsia="MS Gothic"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Calibri" w:hAnsi="Calibri" w:eastAsia="MS Gothic" w:cs="Times New Roman"/>
        <w:b/>
        <w:bCs/>
      </w:rPr>
    </w:tblStylePr>
    <w:tblStylePr w:type="lastCol">
      <w:rPr>
        <w:rFonts w:ascii="Calibri" w:hAnsi="Calibri" w:eastAsia="MS Gothic"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BFBFBF"/>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BFBFBF"/>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50">
    <w:name w:val="Light Grid Accent 1"/>
    <w:basedOn w:val="33"/>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Times New Roman"/>
        <w:b/>
        <w:bCs/>
      </w:rPr>
      <w:tbl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0" w:after="0" w:line="240" w:lineRule="auto"/>
      </w:pPr>
      <w:rPr>
        <w:rFonts w:ascii="Calibri" w:hAnsi="Calibri" w:eastAsia="MS Gothic"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ascii="Calibri" w:hAnsi="Calibri" w:eastAsia="MS Gothic" w:cs="Times New Roman"/>
        <w:b/>
        <w:bCs/>
      </w:rPr>
    </w:tblStylePr>
    <w:tblStylePr w:type="lastCol">
      <w:rPr>
        <w:rFonts w:ascii="Calibri" w:hAnsi="Calibri" w:eastAsia="MS Gothic"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51">
    <w:name w:val="Light Grid Accent 2"/>
    <w:basedOn w:val="33"/>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Times New Roman"/>
        <w:b/>
        <w:bCs/>
      </w:rPr>
      <w:tblPr/>
      <w:tcPr>
        <w:tcBorders>
          <w:top w:val="single" w:color="C0504D" w:sz="8" w:space="0"/>
          <w:left w:val="single" w:color="C0504D" w:sz="8" w:space="0"/>
          <w:bottom w:val="single" w:color="C0504D" w:sz="18" w:space="0"/>
          <w:right w:val="single" w:color="C0504D" w:sz="8" w:space="0"/>
          <w:insideH w:val="nil"/>
          <w:insideV w:val="single" w:sz="8" w:space="0"/>
        </w:tcBorders>
      </w:tcPr>
    </w:tblStylePr>
    <w:tblStylePr w:type="lastRow">
      <w:pPr>
        <w:spacing w:before="0" w:after="0" w:line="240" w:lineRule="auto"/>
      </w:pPr>
      <w:rPr>
        <w:rFonts w:ascii="Calibri" w:hAnsi="Calibri" w:eastAsia="MS Gothic"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ascii="Calibri" w:hAnsi="Calibri" w:eastAsia="MS Gothic" w:cs="Times New Roman"/>
        <w:b/>
        <w:bCs/>
      </w:rPr>
    </w:tblStylePr>
    <w:tblStylePr w:type="lastCol">
      <w:rPr>
        <w:rFonts w:ascii="Calibri" w:hAnsi="Calibri" w:eastAsia="MS Gothic"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3"/>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3"/>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52">
    <w:name w:val="Light Grid Accent 3"/>
    <w:basedOn w:val="33"/>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Times New Roman"/>
        <w:b/>
        <w:bCs/>
      </w:rPr>
      <w:tbl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pacing w:before="0" w:after="0" w:line="240" w:lineRule="auto"/>
      </w:pPr>
      <w:rPr>
        <w:rFonts w:ascii="Calibri" w:hAnsi="Calibri" w:eastAsia="MS Gothic"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ascii="Calibri" w:hAnsi="Calibri" w:eastAsia="MS Gothic" w:cs="Times New Roman"/>
        <w:b/>
        <w:bCs/>
      </w:rPr>
    </w:tblStylePr>
    <w:tblStylePr w:type="lastCol">
      <w:rPr>
        <w:rFonts w:ascii="Calibri" w:hAnsi="Calibri" w:eastAsia="MS Gothic"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53">
    <w:name w:val="Light Grid Accent 4"/>
    <w:basedOn w:val="33"/>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Times New Roman"/>
        <w:b/>
        <w:bCs/>
      </w:rPr>
      <w:tblPr/>
      <w:tcPr>
        <w:tcBorders>
          <w:top w:val="single" w:color="8064A2" w:sz="8" w:space="0"/>
          <w:left w:val="single" w:color="8064A2" w:sz="8" w:space="0"/>
          <w:bottom w:val="single" w:color="8064A2" w:sz="18" w:space="0"/>
          <w:right w:val="single" w:color="8064A2" w:sz="8" w:space="0"/>
          <w:insideH w:val="nil"/>
          <w:insideV w:val="single" w:sz="8" w:space="0"/>
        </w:tcBorders>
      </w:tcPr>
    </w:tblStylePr>
    <w:tblStylePr w:type="lastRow">
      <w:pPr>
        <w:spacing w:before="0" w:after="0" w:line="240" w:lineRule="auto"/>
      </w:pPr>
      <w:rPr>
        <w:rFonts w:ascii="Calibri" w:hAnsi="Calibri" w:eastAsia="MS Gothic"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ascii="Calibri" w:hAnsi="Calibri" w:eastAsia="MS Gothic" w:cs="Times New Roman"/>
        <w:b/>
        <w:bCs/>
      </w:rPr>
    </w:tblStylePr>
    <w:tblStylePr w:type="lastCol">
      <w:rPr>
        <w:rFonts w:ascii="Calibri" w:hAnsi="Calibri" w:eastAsia="MS Gothic"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54">
    <w:name w:val="Light Grid Accent 5"/>
    <w:basedOn w:val="33"/>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Times New Roman"/>
        <w:b/>
        <w:bCs/>
      </w:rPr>
      <w:tbl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Calibri" w:hAnsi="Calibri" w:eastAsia="MS Gothic"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Calibri" w:hAnsi="Calibri" w:eastAsia="MS Gothic" w:cs="Times New Roman"/>
        <w:b/>
        <w:bCs/>
      </w:rPr>
    </w:tblStylePr>
    <w:tblStylePr w:type="lastCol">
      <w:rPr>
        <w:rFonts w:ascii="Calibri" w:hAnsi="Calibri" w:eastAsia="MS Gothic"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0"/>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0"/>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55">
    <w:name w:val="Light Grid Accent 6"/>
    <w:basedOn w:val="33"/>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Times New Roman"/>
        <w:b/>
        <w:bCs/>
      </w:rPr>
      <w:tbl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libri" w:hAnsi="Calibri" w:eastAsia="MS Gothic"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libri" w:hAnsi="Calibri" w:eastAsia="MS Gothic" w:cs="Times New Roman"/>
        <w:b/>
        <w:bCs/>
      </w:rPr>
    </w:tblStylePr>
    <w:tblStylePr w:type="lastCol">
      <w:rPr>
        <w:rFonts w:ascii="Calibri" w:hAnsi="Calibri" w:eastAsia="MS Gothic"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5D1"/>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5D1"/>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56">
    <w:name w:val="Medium Shading 1"/>
    <w:basedOn w:val="33"/>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3F3F3F" w:sz="8" w:space="0"/>
          <w:left w:val="single" w:color="3F3F3F" w:sz="8" w:space="0"/>
          <w:bottom w:val="single" w:color="3F3F3F" w:sz="8" w:space="0"/>
          <w:right w:val="single" w:color="3F3F3F" w:sz="8" w:space="0"/>
          <w:insideH w:val="nil"/>
          <w:insideV w:val="nil"/>
        </w:tcBorders>
        <w:shd w:val="clear" w:color="auto" w:fill="000000"/>
      </w:tcPr>
    </w:tblStylePr>
    <w:tblStylePr w:type="lastRow">
      <w:pPr>
        <w:spacing w:before="0" w:after="0" w:line="240" w:lineRule="auto"/>
      </w:pPr>
      <w:rPr>
        <w:b/>
        <w:bCs/>
      </w:rPr>
      <w:tblPr/>
      <w:tcPr>
        <w:tcBorders>
          <w:top w:val="double" w:color="3F3F3F" w:sz="6" w:space="0"/>
          <w:left w:val="single" w:color="3F3F3F" w:sz="8" w:space="0"/>
          <w:bottom w:val="single" w:color="3F3F3F" w:sz="8" w:space="0"/>
          <w:right w:val="single" w:color="3F3F3F" w:sz="8" w:space="0"/>
          <w:insideH w:val="nil"/>
          <w:insideV w:val="nil"/>
        </w:tcBorders>
      </w:tcPr>
    </w:tblStylePr>
    <w:tblStylePr w:type="firstCol">
      <w:rPr>
        <w:b/>
        <w:bCs/>
      </w:rPr>
    </w:tblStylePr>
    <w:tblStylePr w:type="lastCol">
      <w:rPr>
        <w:b/>
        <w:bCs/>
      </w:rPr>
    </w:tblStylePr>
    <w:tblStylePr w:type="band1Vert">
      <w:tblPr/>
      <w:tcPr>
        <w:shd w:val="clear" w:color="auto" w:fill="BFBFBF"/>
      </w:tcPr>
    </w:tblStylePr>
    <w:tblStylePr w:type="band1Horz">
      <w:tblPr/>
      <w:tcPr>
        <w:tcBorders>
          <w:insideH w:val="nil"/>
          <w:insideV w:val="nil"/>
        </w:tcBorders>
        <w:shd w:val="clear" w:color="auto" w:fill="BFBFBF"/>
      </w:tcPr>
    </w:tblStylePr>
    <w:tblStylePr w:type="band2Horz">
      <w:tblPr/>
      <w:tcPr>
        <w:tcBorders>
          <w:insideH w:val="nil"/>
          <w:insideV w:val="nil"/>
        </w:tcBorders>
      </w:tcPr>
    </w:tblStylePr>
  </w:style>
  <w:style w:type="table" w:styleId="57">
    <w:name w:val="Medium Shading 1 Accent 1"/>
    <w:basedOn w:val="33"/>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58">
    <w:name w:val="Medium Shading 1 Accent 2"/>
    <w:basedOn w:val="33"/>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3"/>
      </w:tcPr>
    </w:tblStylePr>
    <w:tblStylePr w:type="band1Horz">
      <w:tblPr/>
      <w:tcPr>
        <w:tcBorders>
          <w:insideH w:val="nil"/>
          <w:insideV w:val="nil"/>
        </w:tcBorders>
        <w:shd w:val="clear" w:color="auto" w:fill="EFD3D3"/>
      </w:tcPr>
    </w:tblStylePr>
    <w:tblStylePr w:type="band2Horz">
      <w:tblPr/>
      <w:tcPr>
        <w:tcBorders>
          <w:insideH w:val="nil"/>
          <w:insideV w:val="nil"/>
        </w:tcBorders>
      </w:tcPr>
    </w:tblStylePr>
  </w:style>
  <w:style w:type="table" w:styleId="59">
    <w:name w:val="Medium Shading 1 Accent 3"/>
    <w:basedOn w:val="33"/>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B4CC82" w:sz="8" w:space="0"/>
          <w:left w:val="single" w:color="B4CC82" w:sz="8" w:space="0"/>
          <w:bottom w:val="single" w:color="B4CC82" w:sz="8" w:space="0"/>
          <w:right w:val="single" w:color="B4CC82" w:sz="8" w:space="0"/>
          <w:insideH w:val="nil"/>
          <w:insideV w:val="nil"/>
        </w:tcBorders>
        <w:shd w:val="clear" w:color="auto" w:fill="9BBB59"/>
      </w:tcPr>
    </w:tblStylePr>
    <w:tblStylePr w:type="lastRow">
      <w:pPr>
        <w:spacing w:before="0" w:after="0" w:line="240" w:lineRule="auto"/>
      </w:pPr>
      <w:rPr>
        <w:b/>
        <w:bCs/>
      </w:rPr>
      <w:tblPr/>
      <w:tcPr>
        <w:tcBorders>
          <w:top w:val="double" w:color="B4CC82" w:sz="6" w:space="0"/>
          <w:left w:val="single" w:color="B4CC82" w:sz="8" w:space="0"/>
          <w:bottom w:val="single" w:color="B4CC82" w:sz="8" w:space="0"/>
          <w:right w:val="single" w:color="B4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60">
    <w:name w:val="Medium Shading 1 Accent 4"/>
    <w:basedOn w:val="33"/>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61">
    <w:name w:val="Medium Shading 1 Accent 5"/>
    <w:basedOn w:val="33"/>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0"/>
      </w:tcPr>
    </w:tblStylePr>
    <w:tblStylePr w:type="band1Horz">
      <w:tblPr/>
      <w:tcPr>
        <w:tcBorders>
          <w:insideH w:val="nil"/>
          <w:insideV w:val="nil"/>
        </w:tcBorders>
        <w:shd w:val="clear" w:color="auto" w:fill="D2EAF0"/>
      </w:tcPr>
    </w:tblStylePr>
    <w:tblStylePr w:type="band2Horz">
      <w:tblPr/>
      <w:tcPr>
        <w:tcBorders>
          <w:insideH w:val="nil"/>
          <w:insideV w:val="nil"/>
        </w:tcBorders>
      </w:tcPr>
    </w:tblStylePr>
  </w:style>
  <w:style w:type="table" w:styleId="62">
    <w:name w:val="Medium Shading 1 Accent 6"/>
    <w:basedOn w:val="33"/>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5D1"/>
      </w:tcPr>
    </w:tblStylePr>
    <w:tblStylePr w:type="band1Horz">
      <w:tblPr/>
      <w:tcPr>
        <w:tcBorders>
          <w:insideH w:val="nil"/>
          <w:insideV w:val="nil"/>
        </w:tcBorders>
        <w:shd w:val="clear" w:color="auto" w:fill="FDE5D1"/>
      </w:tcPr>
    </w:tblStylePr>
    <w:tblStylePr w:type="band2Horz">
      <w:tblPr/>
      <w:tcPr>
        <w:tcBorders>
          <w:insideH w:val="nil"/>
          <w:insideV w:val="nil"/>
        </w:tcBorders>
      </w:tcPr>
    </w:tblStylePr>
  </w:style>
  <w:style w:type="table" w:styleId="63">
    <w:name w:val="Medium Shading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4">
    <w:name w:val="Medium Shading 2 Accent 1"/>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5">
    <w:name w:val="Medium Shading 2 Accent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6">
    <w:name w:val="Medium Shading 2 Accent 3"/>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7">
    <w:name w:val="Medium Shading 2 Accent 4"/>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8">
    <w:name w:val="Medium Shading 2 Accent 5"/>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9">
    <w:name w:val="Medium Shading 2 Accent 6"/>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70">
    <w:name w:val="Medium List 1"/>
    <w:basedOn w:val="33"/>
    <w:qFormat/>
    <w:uiPriority w:val="65"/>
    <w:pPr>
      <w:spacing w:after="0" w:line="240" w:lineRule="auto"/>
    </w:pPr>
    <w:rPr>
      <w:color w:val="000000"/>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Calibri" w:hAnsi="Calibri" w:eastAsia="MS Gothic" w:cs="Times New Roman"/>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BFBFBF"/>
      </w:tcPr>
    </w:tblStylePr>
    <w:tblStylePr w:type="band1Horz">
      <w:tblPr/>
      <w:tcPr>
        <w:shd w:val="clear" w:color="auto" w:fill="BFBFBF"/>
      </w:tcPr>
    </w:tblStylePr>
  </w:style>
  <w:style w:type="table" w:styleId="71">
    <w:name w:val="Medium List 1 Accent 1"/>
    <w:basedOn w:val="33"/>
    <w:qFormat/>
    <w:uiPriority w:val="65"/>
    <w:pPr>
      <w:spacing w:after="0" w:line="240" w:lineRule="auto"/>
    </w:pPr>
    <w:rPr>
      <w:color w:val="000000"/>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Calibri" w:hAnsi="Calibri" w:eastAsia="MS Gothic" w:cs="Times New Roman"/>
      </w:rPr>
      <w:tblPr/>
      <w:tcPr>
        <w:tcBorders>
          <w:top w:val="nil"/>
          <w:bottom w:val="single" w:color="4F81BD" w:sz="8" w:space="0"/>
        </w:tcBorders>
      </w:tcPr>
    </w:tblStylePr>
    <w:tblStylePr w:type="lastRow">
      <w:rPr>
        <w:b/>
        <w:bCs/>
        <w:color w:val="1F497D"/>
      </w:rPr>
      <w:tblPr/>
      <w:tcPr>
        <w:tcBorders>
          <w:top w:val="single" w:color="4F81BD" w:sz="8" w:space="0"/>
          <w:bottom w:val="single" w:color="4F81BD" w:sz="8" w:space="0"/>
        </w:tcBorders>
      </w:tcPr>
    </w:tblStylePr>
    <w:tblStylePr w:type="firstCol">
      <w:rPr>
        <w:b/>
        <w:bCs/>
      </w:rPr>
    </w:tblStylePr>
    <w:tblStylePr w:type="lastCol">
      <w:rPr>
        <w:b/>
        <w:bCs/>
      </w:rPr>
      <w:tblPr/>
      <w:tcPr>
        <w:tcBorders>
          <w:top w:val="single" w:color="4F81BD" w:sz="8" w:space="0"/>
          <w:bottom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72">
    <w:name w:val="Medium List 1 Accent 2"/>
    <w:basedOn w:val="33"/>
    <w:qFormat/>
    <w:uiPriority w:val="65"/>
    <w:pPr>
      <w:spacing w:after="0" w:line="240" w:lineRule="auto"/>
    </w:pPr>
    <w:rPr>
      <w:color w:val="000000"/>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Calibri" w:hAnsi="Calibri" w:eastAsia="MS Gothic" w:cs="Times New Roman"/>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3"/>
      </w:tcPr>
    </w:tblStylePr>
    <w:tblStylePr w:type="band1Horz">
      <w:tblPr/>
      <w:tcPr>
        <w:shd w:val="clear" w:color="auto" w:fill="EFD3D3"/>
      </w:tcPr>
    </w:tblStylePr>
  </w:style>
  <w:style w:type="table" w:styleId="73">
    <w:name w:val="Medium List 1 Accent 3"/>
    <w:basedOn w:val="33"/>
    <w:qFormat/>
    <w:uiPriority w:val="65"/>
    <w:pPr>
      <w:spacing w:after="0" w:line="240" w:lineRule="auto"/>
    </w:pPr>
    <w:rPr>
      <w:color w:val="000000"/>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Calibri" w:hAnsi="Calibri" w:eastAsia="MS Gothic"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74">
    <w:name w:val="Medium List 1 Accent 4"/>
    <w:basedOn w:val="33"/>
    <w:qFormat/>
    <w:uiPriority w:val="65"/>
    <w:pPr>
      <w:spacing w:after="0" w:line="240" w:lineRule="auto"/>
    </w:pPr>
    <w:rPr>
      <w:color w:val="000000"/>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Calibri" w:hAnsi="Calibri" w:eastAsia="MS Gothic" w:cs="Times New Roman"/>
      </w:rPr>
      <w:tblPr/>
      <w:tcPr>
        <w:tcBorders>
          <w:top w:val="nil"/>
          <w:bottom w:val="single" w:color="8064A2" w:sz="8" w:space="0"/>
        </w:tcBorders>
      </w:tcPr>
    </w:tblStylePr>
    <w:tblStylePr w:type="lastRow">
      <w:rPr>
        <w:b/>
        <w:bCs/>
        <w:color w:val="1F497D"/>
      </w:rPr>
      <w:tblPr/>
      <w:tcPr>
        <w:tcBorders>
          <w:top w:val="single" w:color="8064A2" w:sz="8" w:space="0"/>
          <w:bottom w:val="single" w:color="8064A2" w:sz="8" w:space="0"/>
        </w:tcBorders>
      </w:tcPr>
    </w:tblStylePr>
    <w:tblStylePr w:type="firstCol">
      <w:rPr>
        <w:b/>
        <w:bCs/>
      </w:rPr>
    </w:tblStylePr>
    <w:tblStylePr w:type="lastCol">
      <w:rPr>
        <w:b/>
        <w:bCs/>
      </w:rPr>
      <w:tblPr/>
      <w:tcPr>
        <w:tcBorders>
          <w:top w:val="single" w:color="8064A2" w:sz="8" w:space="0"/>
          <w:bottom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75">
    <w:name w:val="Medium List 1 Accent 5"/>
    <w:basedOn w:val="33"/>
    <w:qFormat/>
    <w:uiPriority w:val="65"/>
    <w:pPr>
      <w:spacing w:after="0" w:line="240" w:lineRule="auto"/>
    </w:pPr>
    <w:rPr>
      <w:color w:val="000000"/>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Calibri" w:hAnsi="Calibri" w:eastAsia="MS Gothic"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0"/>
      </w:tcPr>
    </w:tblStylePr>
    <w:tblStylePr w:type="band1Horz">
      <w:tblPr/>
      <w:tcPr>
        <w:shd w:val="clear" w:color="auto" w:fill="D2EAF0"/>
      </w:tcPr>
    </w:tblStylePr>
  </w:style>
  <w:style w:type="table" w:styleId="76">
    <w:name w:val="Medium List 1 Accent 6"/>
    <w:basedOn w:val="33"/>
    <w:qFormat/>
    <w:uiPriority w:val="65"/>
    <w:pPr>
      <w:spacing w:after="0" w:line="240" w:lineRule="auto"/>
    </w:pPr>
    <w:rPr>
      <w:color w:val="000000"/>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Calibri" w:hAnsi="Calibri" w:eastAsia="MS Gothic" w:cs="Times New Roman"/>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5D1"/>
      </w:tcPr>
    </w:tblStylePr>
    <w:tblStylePr w:type="band1Horz">
      <w:tblPr/>
      <w:tcPr>
        <w:shd w:val="clear" w:color="auto" w:fill="FDE5D1"/>
      </w:tcPr>
    </w:tblStylePr>
  </w:style>
  <w:style w:type="table" w:styleId="77">
    <w:name w:val="Medium List 2"/>
    <w:basedOn w:val="33"/>
    <w:qFormat/>
    <w:uiPriority w:val="66"/>
    <w:pPr>
      <w:spacing w:after="0" w:line="240" w:lineRule="auto"/>
    </w:pPr>
    <w:rPr>
      <w:rFonts w:ascii="Calibri" w:hAnsi="Calibri" w:eastAsia="MS Gothic" w:cs="Times New Roman"/>
      <w:color w:val="000000"/>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FBFBF"/>
      </w:tcPr>
    </w:tblStylePr>
    <w:tblStylePr w:type="band1Horz">
      <w:tblPr/>
      <w:tcPr>
        <w:tcBorders>
          <w:top w:val="nil"/>
          <w:bottom w:val="nil"/>
          <w:insideH w:val="nil"/>
          <w:insideV w:val="nil"/>
        </w:tcBorders>
        <w:shd w:val="clear" w:color="auto" w:fill="BFBFBF"/>
      </w:tcPr>
    </w:tblStylePr>
    <w:tblStylePr w:type="nwCell">
      <w:tblPr/>
      <w:tcPr>
        <w:shd w:val="clear" w:color="auto" w:fill="FFFFFF"/>
      </w:tcPr>
    </w:tblStylePr>
    <w:tblStylePr w:type="swCell">
      <w:tblPr/>
      <w:tcPr>
        <w:tcBorders>
          <w:top w:val="nil"/>
        </w:tcBorders>
      </w:tcPr>
    </w:tblStylePr>
  </w:style>
  <w:style w:type="table" w:styleId="78">
    <w:name w:val="Medium List 2 Accent 1"/>
    <w:basedOn w:val="33"/>
    <w:qFormat/>
    <w:uiPriority w:val="66"/>
    <w:pPr>
      <w:spacing w:after="0" w:line="240" w:lineRule="auto"/>
    </w:pPr>
    <w:rPr>
      <w:rFonts w:ascii="Calibri" w:hAnsi="Calibri" w:eastAsia="MS Gothic" w:cs="Times New Roman"/>
      <w:color w:val="000000"/>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79">
    <w:name w:val="Medium List 2 Accent 2"/>
    <w:basedOn w:val="33"/>
    <w:qFormat/>
    <w:uiPriority w:val="66"/>
    <w:pPr>
      <w:spacing w:after="0" w:line="240" w:lineRule="auto"/>
    </w:pPr>
    <w:rPr>
      <w:rFonts w:ascii="Calibri" w:hAnsi="Calibri" w:eastAsia="MS Gothic" w:cs="Times New Roman"/>
      <w:color w:val="000000"/>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sz="24" w:space="0"/>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single" w:color="C0504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3"/>
      </w:tcPr>
    </w:tblStylePr>
    <w:tblStylePr w:type="band1Horz">
      <w:tblPr/>
      <w:tcPr>
        <w:tcBorders>
          <w:top w:val="nil"/>
          <w:bottom w:val="nil"/>
          <w:insideH w:val="nil"/>
          <w:insideV w:val="nil"/>
        </w:tcBorders>
        <w:shd w:val="clear" w:color="auto" w:fill="EFD3D3"/>
      </w:tcPr>
    </w:tblStylePr>
    <w:tblStylePr w:type="nwCell">
      <w:tblPr/>
      <w:tcPr>
        <w:shd w:val="clear" w:color="auto" w:fill="FFFFFF"/>
      </w:tcPr>
    </w:tblStylePr>
    <w:tblStylePr w:type="swCell">
      <w:tblPr/>
      <w:tcPr>
        <w:tcBorders>
          <w:top w:val="nil"/>
        </w:tcBorders>
      </w:tcPr>
    </w:tblStylePr>
  </w:style>
  <w:style w:type="table" w:styleId="80">
    <w:name w:val="Medium List 2 Accent 3"/>
    <w:basedOn w:val="33"/>
    <w:qFormat/>
    <w:uiPriority w:val="66"/>
    <w:pPr>
      <w:spacing w:after="0" w:line="240" w:lineRule="auto"/>
    </w:pPr>
    <w:rPr>
      <w:rFonts w:ascii="Calibri" w:hAnsi="Calibri" w:eastAsia="MS Gothic" w:cs="Times New Roman"/>
      <w:color w:val="000000"/>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sz="24" w:space="0"/>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single" w:color="9BBB59"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81">
    <w:name w:val="Medium List 2 Accent 4"/>
    <w:basedOn w:val="33"/>
    <w:qFormat/>
    <w:uiPriority w:val="66"/>
    <w:pPr>
      <w:spacing w:after="0" w:line="240" w:lineRule="auto"/>
    </w:pPr>
    <w:rPr>
      <w:rFonts w:ascii="Calibri" w:hAnsi="Calibri" w:eastAsia="MS Gothic" w:cs="Times New Roman"/>
      <w:color w:val="000000"/>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sz="24" w:space="0"/>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single" w:color="8064A2"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82">
    <w:name w:val="Medium List 2 Accent 5"/>
    <w:basedOn w:val="33"/>
    <w:qFormat/>
    <w:uiPriority w:val="66"/>
    <w:pPr>
      <w:spacing w:after="0" w:line="240" w:lineRule="auto"/>
    </w:pPr>
    <w:rPr>
      <w:rFonts w:ascii="Calibri" w:hAnsi="Calibri" w:eastAsia="MS Gothic" w:cs="Times New Roman"/>
      <w:color w:val="000000"/>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0"/>
      </w:tcPr>
    </w:tblStylePr>
    <w:tblStylePr w:type="band1Horz">
      <w:tblPr/>
      <w:tcPr>
        <w:tcBorders>
          <w:top w:val="nil"/>
          <w:bottom w:val="nil"/>
          <w:insideH w:val="nil"/>
          <w:insideV w:val="nil"/>
        </w:tcBorders>
        <w:shd w:val="clear" w:color="auto" w:fill="D2EAF0"/>
      </w:tcPr>
    </w:tblStylePr>
    <w:tblStylePr w:type="nwCell">
      <w:tblPr/>
      <w:tcPr>
        <w:shd w:val="clear" w:color="auto" w:fill="FFFFFF"/>
      </w:tcPr>
    </w:tblStylePr>
    <w:tblStylePr w:type="swCell">
      <w:tblPr/>
      <w:tcPr>
        <w:tcBorders>
          <w:top w:val="nil"/>
        </w:tcBorders>
      </w:tcPr>
    </w:tblStylePr>
  </w:style>
  <w:style w:type="table" w:styleId="83">
    <w:name w:val="Medium List 2 Accent 6"/>
    <w:basedOn w:val="33"/>
    <w:qFormat/>
    <w:uiPriority w:val="66"/>
    <w:pPr>
      <w:spacing w:after="0" w:line="240" w:lineRule="auto"/>
    </w:pPr>
    <w:rPr>
      <w:rFonts w:ascii="Calibri" w:hAnsi="Calibri" w:eastAsia="MS Gothic" w:cs="Times New Roman"/>
      <w:color w:val="000000"/>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single" w:color="F7964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5D1"/>
      </w:tcPr>
    </w:tblStylePr>
    <w:tblStylePr w:type="band1Horz">
      <w:tblPr/>
      <w:tcPr>
        <w:tcBorders>
          <w:top w:val="nil"/>
          <w:bottom w:val="nil"/>
          <w:insideH w:val="nil"/>
          <w:insideV w:val="nil"/>
        </w:tcBorders>
        <w:shd w:val="clear" w:color="auto" w:fill="FDE5D1"/>
      </w:tcPr>
    </w:tblStylePr>
    <w:tblStylePr w:type="nwCell">
      <w:tblPr/>
      <w:tcPr>
        <w:shd w:val="clear" w:color="auto" w:fill="FFFFFF"/>
      </w:tcPr>
    </w:tblStylePr>
    <w:tblStylePr w:type="swCell">
      <w:tblPr/>
      <w:tcPr>
        <w:tcBorders>
          <w:top w:val="nil"/>
        </w:tcBorders>
      </w:tcPr>
    </w:tblStylePr>
  </w:style>
  <w:style w:type="table" w:styleId="84">
    <w:name w:val="Medium Grid 1"/>
    <w:basedOn w:val="33"/>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sz="18" w:space="0"/>
        </w:tcBorders>
      </w:tcPr>
    </w:tblStylePr>
    <w:tblStylePr w:type="firstCol">
      <w:rPr>
        <w:b/>
        <w:bCs/>
      </w:rPr>
    </w:tblStylePr>
    <w:tblStylePr w:type="lastCol">
      <w:rPr>
        <w:b/>
        <w:bCs/>
      </w:rPr>
    </w:tblStylePr>
    <w:tblStylePr w:type="band1Vert">
      <w:tblPr/>
      <w:tcPr>
        <w:shd w:val="clear" w:color="auto" w:fill="7F7F7F"/>
      </w:tcPr>
    </w:tblStylePr>
    <w:tblStylePr w:type="band1Horz">
      <w:tblPr/>
      <w:tcPr>
        <w:shd w:val="clear" w:color="auto" w:fill="7F7F7F"/>
      </w:tcPr>
    </w:tblStylePr>
  </w:style>
  <w:style w:type="table" w:styleId="85">
    <w:name w:val="Medium Grid 1 Accent 1"/>
    <w:basedOn w:val="33"/>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C0DE"/>
      </w:tcPr>
    </w:tblStylePr>
    <w:tblStylePr w:type="band1Horz">
      <w:tblPr/>
      <w:tcPr>
        <w:shd w:val="clear" w:color="auto" w:fill="A7C0DE"/>
      </w:tcPr>
    </w:tblStylePr>
  </w:style>
  <w:style w:type="table" w:styleId="86">
    <w:name w:val="Medium Grid 1 Accent 2"/>
    <w:basedOn w:val="33"/>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87">
    <w:name w:val="Medium Grid 1 Accent 3"/>
    <w:basedOn w:val="33"/>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88">
    <w:name w:val="Medium Grid 1 Accent 4"/>
    <w:basedOn w:val="33"/>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89">
    <w:name w:val="Medium Grid 1 Accent 5"/>
    <w:basedOn w:val="33"/>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90">
    <w:name w:val="Medium Grid 1 Accent 6"/>
    <w:basedOn w:val="33"/>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91">
    <w:name w:val="Medium Grid 2"/>
    <w:basedOn w:val="33"/>
    <w:qFormat/>
    <w:uiPriority w:val="68"/>
    <w:pPr>
      <w:spacing w:after="0" w:line="240" w:lineRule="auto"/>
    </w:pPr>
    <w:rPr>
      <w:rFonts w:ascii="Calibri" w:hAnsi="Calibri" w:eastAsia="MS Gothic" w:cs="Times New Roman"/>
      <w:color w:val="000000"/>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rPr>
      <w:tblPr/>
      <w:tcPr>
        <w:shd w:val="clear" w:color="auto" w:fill="E5E5E5"/>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7F7F7F"/>
      </w:tcPr>
    </w:tblStylePr>
    <w:tblStylePr w:type="band1Horz">
      <w:tblPr/>
      <w:tcPr>
        <w:tcBorders>
          <w:insideH w:val="single" w:sz="6" w:space="0"/>
          <w:insideV w:val="single" w:sz="6" w:space="0"/>
        </w:tcBorders>
        <w:shd w:val="clear" w:color="auto" w:fill="7F7F7F"/>
      </w:tcPr>
    </w:tblStylePr>
    <w:tblStylePr w:type="nwCell">
      <w:tblPr/>
      <w:tcPr>
        <w:shd w:val="clear" w:color="auto" w:fill="FFFFFF"/>
      </w:tcPr>
    </w:tblStylePr>
  </w:style>
  <w:style w:type="table" w:styleId="92">
    <w:name w:val="Medium Grid 2 Accent 1"/>
    <w:basedOn w:val="33"/>
    <w:qFormat/>
    <w:uiPriority w:val="68"/>
    <w:pPr>
      <w:spacing w:after="0" w:line="240" w:lineRule="auto"/>
    </w:pPr>
    <w:rPr>
      <w:rFonts w:ascii="Calibri" w:hAnsi="Calibri" w:eastAsia="MS Gothic" w:cs="Times New Roman"/>
      <w:color w:val="000000"/>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C0DE"/>
      </w:tcPr>
    </w:tblStylePr>
    <w:tblStylePr w:type="band1Horz">
      <w:tblPr/>
      <w:tcPr>
        <w:tcBorders>
          <w:insideH w:val="single" w:sz="6" w:space="0"/>
          <w:insideV w:val="single" w:sz="6" w:space="0"/>
        </w:tcBorders>
        <w:shd w:val="clear" w:color="auto" w:fill="A7C0DE"/>
      </w:tcPr>
    </w:tblStylePr>
    <w:tblStylePr w:type="nwCell">
      <w:tblPr/>
      <w:tcPr>
        <w:shd w:val="clear" w:color="auto" w:fill="FFFFFF"/>
      </w:tcPr>
    </w:tblStylePr>
  </w:style>
  <w:style w:type="table" w:styleId="93">
    <w:name w:val="Medium Grid 2 Accent 2"/>
    <w:basedOn w:val="33"/>
    <w:qFormat/>
    <w:uiPriority w:val="68"/>
    <w:pPr>
      <w:spacing w:after="0" w:line="240" w:lineRule="auto"/>
    </w:pPr>
    <w:rPr>
      <w:rFonts w:ascii="Calibri" w:hAnsi="Calibri" w:eastAsia="MS Gothic" w:cs="Times New Roman"/>
      <w:color w:val="000000"/>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94">
    <w:name w:val="Medium Grid 2 Accent 3"/>
    <w:basedOn w:val="33"/>
    <w:qFormat/>
    <w:uiPriority w:val="68"/>
    <w:pPr>
      <w:spacing w:after="0" w:line="240" w:lineRule="auto"/>
    </w:pPr>
    <w:rPr>
      <w:rFonts w:ascii="Calibri" w:hAnsi="Calibri" w:eastAsia="MS Gothic" w:cs="Times New Roman"/>
      <w:color w:val="000000"/>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95">
    <w:name w:val="Medium Grid 2 Accent 4"/>
    <w:basedOn w:val="33"/>
    <w:qFormat/>
    <w:uiPriority w:val="68"/>
    <w:pPr>
      <w:spacing w:after="0" w:line="240" w:lineRule="auto"/>
    </w:pPr>
    <w:rPr>
      <w:rFonts w:ascii="Calibri" w:hAnsi="Calibri" w:eastAsia="MS Gothic" w:cs="Times New Roman"/>
      <w:color w:val="000000"/>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rPr>
      <w:tblPr/>
      <w:tcPr>
        <w:shd w:val="clear" w:color="auto" w:fill="F2EFF5"/>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96">
    <w:name w:val="Medium Grid 2 Accent 5"/>
    <w:basedOn w:val="33"/>
    <w:qFormat/>
    <w:uiPriority w:val="68"/>
    <w:pPr>
      <w:spacing w:after="0" w:line="240" w:lineRule="auto"/>
    </w:pPr>
    <w:rPr>
      <w:rFonts w:ascii="Calibri" w:hAnsi="Calibri" w:eastAsia="MS Gothic" w:cs="Times New Roman"/>
      <w:color w:val="000000"/>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97">
    <w:name w:val="Medium Grid 2 Accent 6"/>
    <w:basedOn w:val="33"/>
    <w:qFormat/>
    <w:uiPriority w:val="68"/>
    <w:pPr>
      <w:spacing w:after="0" w:line="240" w:lineRule="auto"/>
    </w:pPr>
    <w:rPr>
      <w:rFonts w:ascii="Calibri" w:hAnsi="Calibri" w:eastAsia="MS Gothic" w:cs="Times New Roman"/>
      <w:color w:val="000000"/>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98">
    <w:name w:val="Medium Grid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7F7F7F"/>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7F7F7F"/>
      </w:tcPr>
    </w:tblStylePr>
  </w:style>
  <w:style w:type="table" w:styleId="99">
    <w:name w:val="Medium Grid 3 Accent 1"/>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C0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C0DE"/>
      </w:tcPr>
    </w:tblStylePr>
  </w:style>
  <w:style w:type="table" w:styleId="100">
    <w:name w:val="Medium Grid 3 Accent 2"/>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101">
    <w:name w:val="Medium Grid 3 Accent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102">
    <w:name w:val="Medium Grid 3 Accent 4"/>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103">
    <w:name w:val="Medium Grid 3 Accent 5"/>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104">
    <w:name w:val="Medium Grid 3 Accent 6"/>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105">
    <w:name w:val="Dark List"/>
    <w:basedOn w:val="33"/>
    <w:qFormat/>
    <w:uiPriority w:val="70"/>
    <w:pPr>
      <w:spacing w:after="0" w:line="240" w:lineRule="auto"/>
    </w:pPr>
    <w:rPr>
      <w:color w:val="FFFFFF"/>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06">
    <w:name w:val="Dark List Accent 1"/>
    <w:basedOn w:val="33"/>
    <w:qFormat/>
    <w:uiPriority w:val="70"/>
    <w:pPr>
      <w:spacing w:after="0" w:line="240" w:lineRule="auto"/>
    </w:pPr>
    <w:rPr>
      <w:color w:val="FFFFFF"/>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1"/>
      </w:tcPr>
    </w:tblStylePr>
    <w:tblStylePr w:type="firstCol">
      <w:tblPr/>
      <w:tcPr>
        <w:tcBorders>
          <w:top w:val="nil"/>
          <w:left w:val="nil"/>
          <w:bottom w:val="nil"/>
          <w:right w:val="single" w:color="FFFFFF" w:sz="18" w:space="0"/>
          <w:insideH w:val="nil"/>
          <w:insideV w:val="nil"/>
        </w:tcBorders>
        <w:shd w:val="clear" w:color="auto" w:fill="366091"/>
      </w:tcPr>
    </w:tblStylePr>
    <w:tblStylePr w:type="lastCol">
      <w:tblPr/>
      <w:tcPr>
        <w:tcBorders>
          <w:top w:val="nil"/>
          <w:left w:val="single" w:color="FFFFFF" w:sz="18" w:space="0"/>
          <w:bottom w:val="nil"/>
          <w:right w:val="nil"/>
          <w:insideH w:val="nil"/>
          <w:insideV w:val="nil"/>
        </w:tcBorders>
        <w:shd w:val="clear" w:color="auto" w:fill="366091"/>
      </w:tcPr>
    </w:tblStylePr>
    <w:tblStylePr w:type="band1Vert">
      <w:tblPr/>
      <w:tcPr>
        <w:tcBorders>
          <w:top w:val="nil"/>
          <w:left w:val="nil"/>
          <w:bottom w:val="nil"/>
          <w:right w:val="nil"/>
          <w:insideH w:val="nil"/>
          <w:insideV w:val="nil"/>
        </w:tcBorders>
        <w:shd w:val="clear" w:color="auto" w:fill="366091"/>
      </w:tcPr>
    </w:tblStylePr>
    <w:tblStylePr w:type="band1Horz">
      <w:tblPr/>
      <w:tcPr>
        <w:tcBorders>
          <w:top w:val="nil"/>
          <w:left w:val="nil"/>
          <w:bottom w:val="nil"/>
          <w:right w:val="nil"/>
          <w:insideH w:val="nil"/>
          <w:insideV w:val="nil"/>
        </w:tcBorders>
        <w:shd w:val="clear" w:color="auto" w:fill="366091"/>
      </w:tcPr>
    </w:tblStylePr>
  </w:style>
  <w:style w:type="table" w:styleId="107">
    <w:name w:val="Dark List Accent 2"/>
    <w:basedOn w:val="33"/>
    <w:qFormat/>
    <w:uiPriority w:val="70"/>
    <w:pPr>
      <w:spacing w:after="0" w:line="240" w:lineRule="auto"/>
    </w:pPr>
    <w:rPr>
      <w:color w:val="FFFFFF"/>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734"/>
      </w:tcPr>
    </w:tblStylePr>
    <w:tblStylePr w:type="lastCol">
      <w:tblPr/>
      <w:tcPr>
        <w:tcBorders>
          <w:top w:val="nil"/>
          <w:left w:val="single" w:color="FFFFFF" w:sz="18" w:space="0"/>
          <w:bottom w:val="nil"/>
          <w:right w:val="nil"/>
          <w:insideH w:val="nil"/>
          <w:insideV w:val="nil"/>
        </w:tcBorders>
        <w:shd w:val="clear" w:color="auto" w:fill="943734"/>
      </w:tcPr>
    </w:tblStylePr>
    <w:tblStylePr w:type="band1Vert">
      <w:tblPr/>
      <w:tcPr>
        <w:tcBorders>
          <w:top w:val="nil"/>
          <w:left w:val="nil"/>
          <w:bottom w:val="nil"/>
          <w:right w:val="nil"/>
          <w:insideH w:val="nil"/>
          <w:insideV w:val="nil"/>
        </w:tcBorders>
        <w:shd w:val="clear" w:color="auto" w:fill="943734"/>
      </w:tcPr>
    </w:tblStylePr>
    <w:tblStylePr w:type="band1Horz">
      <w:tblPr/>
      <w:tcPr>
        <w:tcBorders>
          <w:top w:val="nil"/>
          <w:left w:val="nil"/>
          <w:bottom w:val="nil"/>
          <w:right w:val="nil"/>
          <w:insideH w:val="nil"/>
          <w:insideV w:val="nil"/>
        </w:tcBorders>
        <w:shd w:val="clear" w:color="auto" w:fill="943734"/>
      </w:tcPr>
    </w:tblStylePr>
  </w:style>
  <w:style w:type="table" w:styleId="108">
    <w:name w:val="Dark List Accent 3"/>
    <w:basedOn w:val="33"/>
    <w:qFormat/>
    <w:uiPriority w:val="70"/>
    <w:pPr>
      <w:spacing w:after="0" w:line="240" w:lineRule="auto"/>
    </w:pPr>
    <w:rPr>
      <w:color w:val="FFFFFF"/>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7"/>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109">
    <w:name w:val="Dark List Accent 4"/>
    <w:basedOn w:val="33"/>
    <w:qFormat/>
    <w:uiPriority w:val="70"/>
    <w:pPr>
      <w:spacing w:after="0" w:line="240" w:lineRule="auto"/>
    </w:pPr>
    <w:rPr>
      <w:color w:val="FFFFFF"/>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0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110">
    <w:name w:val="Dark List Accent 5"/>
    <w:basedOn w:val="33"/>
    <w:qFormat/>
    <w:uiPriority w:val="70"/>
    <w:pPr>
      <w:spacing w:after="0" w:line="240" w:lineRule="auto"/>
    </w:pPr>
    <w:rPr>
      <w:color w:val="FFFFFF"/>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111">
    <w:name w:val="Dark List Accent 6"/>
    <w:basedOn w:val="33"/>
    <w:qFormat/>
    <w:uiPriority w:val="70"/>
    <w:pPr>
      <w:spacing w:after="0" w:line="240" w:lineRule="auto"/>
    </w:pPr>
    <w:rPr>
      <w:color w:val="FFFFFF"/>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9"/>
      </w:tcPr>
    </w:tblStylePr>
    <w:tblStylePr w:type="lastCol">
      <w:tblPr/>
      <w:tcPr>
        <w:tcBorders>
          <w:top w:val="nil"/>
          <w:left w:val="single" w:color="FFFFFF" w:sz="18" w:space="0"/>
          <w:bottom w:val="nil"/>
          <w:right w:val="nil"/>
          <w:insideH w:val="nil"/>
          <w:insideV w:val="nil"/>
        </w:tcBorders>
        <w:shd w:val="clear" w:color="auto" w:fill="E36C09"/>
      </w:tcPr>
    </w:tblStylePr>
    <w:tblStylePr w:type="band1Vert">
      <w:tblPr/>
      <w:tcPr>
        <w:tcBorders>
          <w:top w:val="nil"/>
          <w:left w:val="nil"/>
          <w:bottom w:val="nil"/>
          <w:right w:val="nil"/>
          <w:insideH w:val="nil"/>
          <w:insideV w:val="nil"/>
        </w:tcBorders>
        <w:shd w:val="clear" w:color="auto" w:fill="E36C09"/>
      </w:tcPr>
    </w:tblStylePr>
    <w:tblStylePr w:type="band1Horz">
      <w:tblPr/>
      <w:tcPr>
        <w:tcBorders>
          <w:top w:val="nil"/>
          <w:left w:val="nil"/>
          <w:bottom w:val="nil"/>
          <w:right w:val="nil"/>
          <w:insideH w:val="nil"/>
          <w:insideV w:val="nil"/>
        </w:tcBorders>
        <w:shd w:val="clear" w:color="auto" w:fill="E36C09"/>
      </w:tcPr>
    </w:tblStylePr>
  </w:style>
  <w:style w:type="table" w:styleId="112">
    <w:name w:val="Colorful Shading"/>
    <w:basedOn w:val="33"/>
    <w:qFormat/>
    <w:uiPriority w:val="71"/>
    <w:pPr>
      <w:spacing w:after="0" w:line="240" w:lineRule="auto"/>
    </w:pPr>
    <w:rPr>
      <w:color w:val="000000"/>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7F7F7F"/>
      </w:tcPr>
    </w:tblStylePr>
    <w:tblStylePr w:type="neCell">
      <w:rPr>
        <w:color w:val="000000"/>
      </w:rPr>
    </w:tblStylePr>
    <w:tblStylePr w:type="nwCell">
      <w:rPr>
        <w:color w:val="000000"/>
      </w:rPr>
    </w:tblStylePr>
  </w:style>
  <w:style w:type="table" w:styleId="113">
    <w:name w:val="Colorful Shading Accent 1"/>
    <w:basedOn w:val="33"/>
    <w:qFormat/>
    <w:uiPriority w:val="71"/>
    <w:pPr>
      <w:spacing w:after="0" w:line="240" w:lineRule="auto"/>
    </w:pPr>
    <w:rPr>
      <w:color w:val="000000"/>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B4D74"/>
      </w:tcPr>
    </w:tblStylePr>
    <w:tblStylePr w:type="firstCol">
      <w:rPr>
        <w:color w:val="FFFFFF"/>
      </w:rPr>
      <w:tblPr/>
      <w:tcPr>
        <w:tcBorders>
          <w:top w:val="nil"/>
          <w:left w:val="nil"/>
          <w:bottom w:val="nil"/>
          <w:right w:val="nil"/>
          <w:insideH w:val="single" w:sz="4" w:space="0"/>
          <w:insideV w:val="nil"/>
        </w:tcBorders>
        <w:shd w:val="clear" w:color="auto" w:fill="2B4D74"/>
      </w:tcPr>
    </w:tblStylePr>
    <w:tblStylePr w:type="lastCol">
      <w:rPr>
        <w:color w:val="FFFFFF"/>
      </w:rPr>
      <w:tblPr/>
      <w:tcPr>
        <w:tcBorders>
          <w:top w:val="nil"/>
          <w:left w:val="nil"/>
          <w:bottom w:val="nil"/>
          <w:right w:val="nil"/>
          <w:insideH w:val="nil"/>
          <w:insideV w:val="nil"/>
        </w:tcBorders>
        <w:shd w:val="clear" w:color="auto" w:fill="2B4D74"/>
      </w:tcPr>
    </w:tblStylePr>
    <w:tblStylePr w:type="band1Vert">
      <w:tblPr/>
      <w:tcPr>
        <w:shd w:val="clear" w:color="auto" w:fill="B8CCE4"/>
      </w:tcPr>
    </w:tblStylePr>
    <w:tblStylePr w:type="band1Horz">
      <w:tblPr/>
      <w:tcPr>
        <w:shd w:val="clear" w:color="auto" w:fill="A7C0DE"/>
      </w:tcPr>
    </w:tblStylePr>
    <w:tblStylePr w:type="neCell">
      <w:rPr>
        <w:color w:val="000000"/>
      </w:rPr>
    </w:tblStylePr>
    <w:tblStylePr w:type="nwCell">
      <w:rPr>
        <w:color w:val="000000"/>
      </w:rPr>
    </w:tblStylePr>
  </w:style>
  <w:style w:type="table" w:styleId="114">
    <w:name w:val="Colorful Shading Accent 2"/>
    <w:basedOn w:val="33"/>
    <w:qFormat/>
    <w:uiPriority w:val="71"/>
    <w:pPr>
      <w:spacing w:after="0" w:line="240" w:lineRule="auto"/>
    </w:pPr>
    <w:rPr>
      <w:color w:val="000000"/>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115">
    <w:name w:val="Colorful Shading Accent 3"/>
    <w:basedOn w:val="33"/>
    <w:qFormat/>
    <w:uiPriority w:val="71"/>
    <w:pPr>
      <w:spacing w:after="0" w:line="240" w:lineRule="auto"/>
    </w:pPr>
    <w:rPr>
      <w:color w:val="000000"/>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116">
    <w:name w:val="Colorful Shading Accent 4"/>
    <w:basedOn w:val="33"/>
    <w:qFormat/>
    <w:uiPriority w:val="71"/>
    <w:pPr>
      <w:spacing w:after="0" w:line="240" w:lineRule="auto"/>
    </w:pPr>
    <w:rPr>
      <w:color w:val="000000"/>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A62"/>
      </w:tcPr>
    </w:tblStylePr>
    <w:tblStylePr w:type="firstCol">
      <w:rPr>
        <w:color w:val="FFFFFF"/>
      </w:rPr>
      <w:tblPr/>
      <w:tcPr>
        <w:tcBorders>
          <w:top w:val="nil"/>
          <w:left w:val="nil"/>
          <w:bottom w:val="nil"/>
          <w:right w:val="nil"/>
          <w:insideH w:val="single" w:sz="4" w:space="0"/>
          <w:insideV w:val="nil"/>
        </w:tcBorders>
        <w:shd w:val="clear" w:color="auto" w:fill="4C3A62"/>
      </w:tcPr>
    </w:tblStylePr>
    <w:tblStylePr w:type="lastCol">
      <w:rPr>
        <w:color w:val="FFFFFF"/>
      </w:rPr>
      <w:tblPr/>
      <w:tcPr>
        <w:tcBorders>
          <w:top w:val="nil"/>
          <w:left w:val="nil"/>
          <w:bottom w:val="nil"/>
          <w:right w:val="nil"/>
          <w:insideH w:val="nil"/>
          <w:insideV w:val="nil"/>
        </w:tcBorders>
        <w:shd w:val="clear" w:color="auto" w:fill="4C3A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117">
    <w:name w:val="Colorful Shading Accent 5"/>
    <w:basedOn w:val="33"/>
    <w:qFormat/>
    <w:uiPriority w:val="71"/>
    <w:pPr>
      <w:spacing w:after="0" w:line="240" w:lineRule="auto"/>
    </w:pPr>
    <w:rPr>
      <w:color w:val="000000"/>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118">
    <w:name w:val="Colorful Shading Accent 6"/>
    <w:basedOn w:val="33"/>
    <w:qFormat/>
    <w:uiPriority w:val="71"/>
    <w:pPr>
      <w:spacing w:after="0" w:line="240" w:lineRule="auto"/>
    </w:pPr>
    <w:rPr>
      <w:color w:val="000000"/>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7"/>
      </w:tcPr>
    </w:tblStylePr>
    <w:tblStylePr w:type="firstCol">
      <w:rPr>
        <w:color w:val="FFFFFF"/>
      </w:rPr>
      <w:tblPr/>
      <w:tcPr>
        <w:tcBorders>
          <w:top w:val="nil"/>
          <w:left w:val="nil"/>
          <w:bottom w:val="nil"/>
          <w:right w:val="nil"/>
          <w:insideH w:val="single" w:sz="4" w:space="0"/>
          <w:insideV w:val="nil"/>
        </w:tcBorders>
        <w:shd w:val="clear" w:color="auto" w:fill="B65607"/>
      </w:tcPr>
    </w:tblStylePr>
    <w:tblStylePr w:type="lastCol">
      <w:rPr>
        <w:color w:val="FFFFFF"/>
      </w:rPr>
      <w:tblPr/>
      <w:tcPr>
        <w:tcBorders>
          <w:top w:val="nil"/>
          <w:left w:val="nil"/>
          <w:bottom w:val="nil"/>
          <w:right w:val="nil"/>
          <w:insideH w:val="nil"/>
          <w:insideV w:val="nil"/>
        </w:tcBorders>
        <w:shd w:val="clear" w:color="auto" w:fill="B65607"/>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19">
    <w:name w:val="Colorful List"/>
    <w:basedOn w:val="33"/>
    <w:qFormat/>
    <w:uiPriority w:val="72"/>
    <w:pPr>
      <w:spacing w:after="0" w:line="240" w:lineRule="auto"/>
    </w:pPr>
    <w:rPr>
      <w:color w:val="000000"/>
    </w:rPr>
    <w:tblPr>
      <w:tblCellMar>
        <w:top w:w="0" w:type="dxa"/>
        <w:left w:w="108" w:type="dxa"/>
        <w:bottom w:w="0" w:type="dxa"/>
        <w:right w:w="108" w:type="dxa"/>
      </w:tblCellMar>
    </w:tblPr>
    <w:tcPr>
      <w:shd w:val="clear" w:color="auto" w:fill="E5E5E5" w:themeFill="text1" w:themeFillTint="19"/>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cPr>
    </w:tblStylePr>
    <w:tblStylePr w:type="band1Horz">
      <w:tblPr/>
      <w:tcPr>
        <w:shd w:val="clear" w:color="auto" w:fill="CCCCCC"/>
      </w:tcPr>
    </w:tblStylePr>
  </w:style>
  <w:style w:type="table" w:styleId="120">
    <w:name w:val="Colorful List Accent 1"/>
    <w:basedOn w:val="33"/>
    <w:qFormat/>
    <w:uiPriority w:val="72"/>
    <w:pPr>
      <w:spacing w:after="0" w:line="240" w:lineRule="auto"/>
    </w:pPr>
    <w:rPr>
      <w:color w:val="000000"/>
    </w:rPr>
    <w:tblPr>
      <w:tblCellMar>
        <w:top w:w="0" w:type="dxa"/>
        <w:left w:w="108" w:type="dxa"/>
        <w:bottom w:w="0" w:type="dxa"/>
        <w:right w:w="108" w:type="dxa"/>
      </w:tblCellMar>
    </w:tblPr>
    <w:tcPr>
      <w:shd w:val="clear" w:color="auto" w:fill="EDF2F8" w:themeFill="accent1" w:themeFillTint="19"/>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121">
    <w:name w:val="Colorful List Accent 2"/>
    <w:basedOn w:val="33"/>
    <w:qFormat/>
    <w:uiPriority w:val="72"/>
    <w:pPr>
      <w:spacing w:after="0" w:line="240" w:lineRule="auto"/>
    </w:pPr>
    <w:rPr>
      <w:color w:val="000000"/>
    </w:rPr>
    <w:tblPr>
      <w:tblCellMar>
        <w:top w:w="0" w:type="dxa"/>
        <w:left w:w="108" w:type="dxa"/>
        <w:bottom w:w="0" w:type="dxa"/>
        <w:right w:w="108" w:type="dxa"/>
      </w:tblCellMar>
    </w:tblPr>
    <w:tcPr>
      <w:shd w:val="clear" w:color="auto" w:fill="F8EDED" w:themeFill="accent2" w:themeFillTint="19"/>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cPr>
    </w:tblStylePr>
    <w:tblStylePr w:type="band1Horz">
      <w:tblPr/>
      <w:tcPr>
        <w:shd w:val="clear" w:color="auto" w:fill="F2DBDB"/>
      </w:tcPr>
    </w:tblStylePr>
  </w:style>
  <w:style w:type="table" w:styleId="122">
    <w:name w:val="Colorful List Accent 3"/>
    <w:basedOn w:val="33"/>
    <w:qFormat/>
    <w:uiPriority w:val="72"/>
    <w:pPr>
      <w:spacing w:after="0" w:line="240" w:lineRule="auto"/>
    </w:pPr>
    <w:rPr>
      <w:color w:val="000000"/>
    </w:rPr>
    <w:tblPr>
      <w:tblCellMar>
        <w:top w:w="0" w:type="dxa"/>
        <w:left w:w="108" w:type="dxa"/>
        <w:bottom w:w="0" w:type="dxa"/>
        <w:right w:w="108" w:type="dxa"/>
      </w:tblCellMar>
    </w:tblPr>
    <w:tcPr>
      <w:shd w:val="clear" w:color="auto" w:fill="F5F8EE" w:themeFill="accent3" w:themeFillTint="19"/>
    </w:tcPr>
    <w:tblStylePr w:type="firstRow">
      <w:rPr>
        <w:b/>
        <w:bCs/>
        <w:color w:val="FFFFFF"/>
      </w:rPr>
      <w:tblPr/>
      <w:tcPr>
        <w:tcBorders>
          <w:bottom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123">
    <w:name w:val="Colorful List Accent 4"/>
    <w:basedOn w:val="33"/>
    <w:qFormat/>
    <w:uiPriority w:val="72"/>
    <w:pPr>
      <w:spacing w:after="0" w:line="240" w:lineRule="auto"/>
    </w:pPr>
    <w:rPr>
      <w:color w:val="000000"/>
    </w:rPr>
    <w:tblPr>
      <w:tblCellMar>
        <w:top w:w="0" w:type="dxa"/>
        <w:left w:w="108" w:type="dxa"/>
        <w:bottom w:w="0" w:type="dxa"/>
        <w:right w:w="108" w:type="dxa"/>
      </w:tblCellMar>
    </w:tblPr>
    <w:tcPr>
      <w:shd w:val="clear" w:color="auto" w:fill="F2EFF5" w:themeFill="accent4" w:themeFillTint="19"/>
    </w:tcPr>
    <w:tblStylePr w:type="firstRow">
      <w:rPr>
        <w:b/>
        <w:bCs/>
        <w:color w:val="FFFFFF"/>
      </w:rPr>
      <w:tblPr/>
      <w:tcPr>
        <w:tcBorders>
          <w:bottom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124">
    <w:name w:val="Colorful List Accent 5"/>
    <w:basedOn w:val="33"/>
    <w:qFormat/>
    <w:uiPriority w:val="72"/>
    <w:pPr>
      <w:spacing w:after="0" w:line="240" w:lineRule="auto"/>
    </w:pPr>
    <w:rPr>
      <w:color w:val="000000"/>
    </w:rPr>
    <w:tblPr>
      <w:tblCellMar>
        <w:top w:w="0" w:type="dxa"/>
        <w:left w:w="108" w:type="dxa"/>
        <w:bottom w:w="0" w:type="dxa"/>
        <w:right w:w="108" w:type="dxa"/>
      </w:tblCellMar>
    </w:tblPr>
    <w:tcPr>
      <w:shd w:val="clear" w:color="auto" w:fill="EDF6F9" w:themeFill="accent5" w:themeFillTint="19"/>
    </w:tcPr>
    <w:tblStylePr w:type="firstRow">
      <w:rPr>
        <w:b/>
        <w:bCs/>
        <w:color w:val="FFFFFF"/>
      </w:rPr>
      <w:tblPr/>
      <w:tcPr>
        <w:tcBorders>
          <w:bottom w:val="single" w:color="FFFFFF" w:sz="12" w:space="0"/>
        </w:tcBorders>
        <w:shd w:val="clear" w:color="auto" w:fill="F3730A"/>
      </w:tcPr>
    </w:tblStylePr>
    <w:tblStylePr w:type="lastRow">
      <w:rPr>
        <w:b/>
        <w:bCs/>
        <w:color w:val="F3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cPr>
    </w:tblStylePr>
    <w:tblStylePr w:type="band1Horz">
      <w:tblPr/>
      <w:tcPr>
        <w:shd w:val="clear" w:color="auto" w:fill="DAEEF3"/>
      </w:tcPr>
    </w:tblStylePr>
  </w:style>
  <w:style w:type="table" w:styleId="125">
    <w:name w:val="Colorful List Accent 6"/>
    <w:basedOn w:val="33"/>
    <w:qFormat/>
    <w:uiPriority w:val="72"/>
    <w:pPr>
      <w:spacing w:after="0" w:line="240" w:lineRule="auto"/>
    </w:pPr>
    <w:rPr>
      <w:color w:val="000000"/>
    </w:rPr>
    <w:tblPr>
      <w:tblCellMar>
        <w:top w:w="0" w:type="dxa"/>
        <w:left w:w="108" w:type="dxa"/>
        <w:bottom w:w="0" w:type="dxa"/>
        <w:right w:w="108" w:type="dxa"/>
      </w:tblCellMar>
    </w:tblPr>
    <w:tcPr>
      <w:shd w:val="clear" w:color="auto" w:fill="FEF4EC" w:themeFill="accent6" w:themeFillTint="19"/>
    </w:tcPr>
    <w:tblStylePr w:type="firstRow">
      <w:rPr>
        <w:b/>
        <w:bCs/>
        <w:color w:val="FFFFFF"/>
      </w:rPr>
      <w:tblPr/>
      <w:tcPr>
        <w:tcBorders>
          <w:bottom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cPr>
    </w:tblStylePr>
    <w:tblStylePr w:type="band1Horz">
      <w:tblPr/>
      <w:tcPr>
        <w:shd w:val="clear" w:color="auto" w:fill="FDE9D9"/>
      </w:tcPr>
    </w:tblStylePr>
  </w:style>
  <w:style w:type="table" w:styleId="126">
    <w:name w:val="Colorful Grid"/>
    <w:basedOn w:val="33"/>
    <w:qFormat/>
    <w:uiPriority w:val="73"/>
    <w:pPr>
      <w:spacing w:after="0" w:line="240" w:lineRule="auto"/>
    </w:pPr>
    <w:rPr>
      <w:color w:val="000000"/>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7F7F7F"/>
      </w:tcPr>
    </w:tblStylePr>
    <w:tblStylePr w:type="band1Horz">
      <w:tblPr/>
      <w:tcPr>
        <w:shd w:val="clear" w:color="auto" w:fill="7F7F7F"/>
      </w:tcPr>
    </w:tblStylePr>
  </w:style>
  <w:style w:type="table" w:styleId="127">
    <w:name w:val="Colorful Grid Accent 1"/>
    <w:basedOn w:val="33"/>
    <w:qFormat/>
    <w:uiPriority w:val="73"/>
    <w:pPr>
      <w:spacing w:after="0" w:line="240" w:lineRule="auto"/>
    </w:pPr>
    <w:rPr>
      <w:color w:val="000000"/>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6091"/>
      </w:tcPr>
    </w:tblStylePr>
    <w:tblStylePr w:type="lastCol">
      <w:rPr>
        <w:color w:val="FFFFFF"/>
      </w:rPr>
      <w:tblPr/>
      <w:tcPr>
        <w:shd w:val="clear" w:color="auto" w:fill="366091"/>
      </w:tcPr>
    </w:tblStylePr>
    <w:tblStylePr w:type="band1Vert">
      <w:tblPr/>
      <w:tcPr>
        <w:shd w:val="clear" w:color="auto" w:fill="A7C0DE"/>
      </w:tcPr>
    </w:tblStylePr>
    <w:tblStylePr w:type="band1Horz">
      <w:tblPr/>
      <w:tcPr>
        <w:shd w:val="clear" w:color="auto" w:fill="A7C0DE"/>
      </w:tcPr>
    </w:tblStylePr>
  </w:style>
  <w:style w:type="table" w:styleId="128">
    <w:name w:val="Colorful Grid Accent 2"/>
    <w:basedOn w:val="33"/>
    <w:qFormat/>
    <w:uiPriority w:val="73"/>
    <w:pPr>
      <w:spacing w:after="0" w:line="240" w:lineRule="auto"/>
    </w:pPr>
    <w:rPr>
      <w:color w:val="000000"/>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734"/>
      </w:tcPr>
    </w:tblStylePr>
    <w:tblStylePr w:type="lastCol">
      <w:rPr>
        <w:color w:val="FFFFFF"/>
      </w:rPr>
      <w:tblPr/>
      <w:tcPr>
        <w:shd w:val="clear" w:color="auto" w:fill="943734"/>
      </w:tcPr>
    </w:tblStylePr>
    <w:tblStylePr w:type="band1Vert">
      <w:tblPr/>
      <w:tcPr>
        <w:shd w:val="clear" w:color="auto" w:fill="DFA7A6"/>
      </w:tcPr>
    </w:tblStylePr>
    <w:tblStylePr w:type="band1Horz">
      <w:tblPr/>
      <w:tcPr>
        <w:shd w:val="clear" w:color="auto" w:fill="DFA7A6"/>
      </w:tcPr>
    </w:tblStylePr>
  </w:style>
  <w:style w:type="table" w:styleId="129">
    <w:name w:val="Colorful Grid Accent 3"/>
    <w:basedOn w:val="33"/>
    <w:qFormat/>
    <w:uiPriority w:val="73"/>
    <w:pPr>
      <w:spacing w:after="0" w:line="240" w:lineRule="auto"/>
    </w:pPr>
    <w:rPr>
      <w:color w:val="000000"/>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130">
    <w:name w:val="Colorful Grid Accent 4"/>
    <w:basedOn w:val="33"/>
    <w:qFormat/>
    <w:uiPriority w:val="73"/>
    <w:pPr>
      <w:spacing w:after="0" w:line="240" w:lineRule="auto"/>
    </w:pPr>
    <w:rPr>
      <w:color w:val="000000"/>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131">
    <w:name w:val="Colorful Grid Accent 5"/>
    <w:basedOn w:val="33"/>
    <w:qFormat/>
    <w:uiPriority w:val="73"/>
    <w:pPr>
      <w:spacing w:after="0" w:line="240" w:lineRule="auto"/>
    </w:pPr>
    <w:rPr>
      <w:color w:val="000000"/>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132">
    <w:name w:val="Colorful Grid Accent 6"/>
    <w:basedOn w:val="33"/>
    <w:qFormat/>
    <w:uiPriority w:val="73"/>
    <w:pPr>
      <w:spacing w:after="0" w:line="240" w:lineRule="auto"/>
    </w:pPr>
    <w:rPr>
      <w:color w:val="000000"/>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9"/>
      </w:tcPr>
    </w:tblStylePr>
    <w:tblStylePr w:type="lastCol">
      <w:rPr>
        <w:color w:val="FFFFFF"/>
      </w:rPr>
      <w:tblPr/>
      <w:tcPr>
        <w:shd w:val="clear" w:color="auto" w:fill="E36C09"/>
      </w:tcPr>
    </w:tblStylePr>
    <w:tblStylePr w:type="band1Vert">
      <w:tblPr/>
      <w:tcPr>
        <w:shd w:val="clear" w:color="auto" w:fill="FBCAA2"/>
      </w:tcPr>
    </w:tblStylePr>
    <w:tblStylePr w:type="band1Horz">
      <w:tblPr/>
      <w:tcPr>
        <w:shd w:val="clear" w:color="auto" w:fill="FBCAA2"/>
      </w:tcPr>
    </w:tblStylePr>
  </w:style>
  <w:style w:type="character" w:styleId="134">
    <w:name w:val="Strong"/>
    <w:basedOn w:val="133"/>
    <w:qFormat/>
    <w:uiPriority w:val="22"/>
    <w:rPr>
      <w:b/>
      <w:bCs/>
    </w:rPr>
  </w:style>
  <w:style w:type="character" w:styleId="135">
    <w:name w:val="Emphasis"/>
    <w:basedOn w:val="133"/>
    <w:qFormat/>
    <w:uiPriority w:val="20"/>
    <w:rPr>
      <w:i/>
      <w:iCs/>
    </w:rPr>
  </w:style>
  <w:style w:type="character" w:customStyle="1" w:styleId="136">
    <w:name w:val="Header Char"/>
    <w:basedOn w:val="133"/>
    <w:link w:val="25"/>
    <w:qFormat/>
    <w:uiPriority w:val="99"/>
  </w:style>
  <w:style w:type="character" w:customStyle="1" w:styleId="137">
    <w:name w:val="Footer Char"/>
    <w:basedOn w:val="133"/>
    <w:link w:val="24"/>
    <w:qFormat/>
    <w:uiPriority w:val="99"/>
  </w:style>
  <w:style w:type="paragraph" w:styleId="138">
    <w:name w:val="No Spacing"/>
    <w:qFormat/>
    <w:uiPriority w:val="1"/>
    <w:pPr>
      <w:spacing w:after="0" w:line="240" w:lineRule="auto"/>
    </w:pPr>
    <w:rPr>
      <w:rFonts w:ascii="Cambria" w:hAnsi="Cambria" w:eastAsia="ＭＳ 明朝" w:cs="Times New Roman"/>
      <w:sz w:val="22"/>
      <w:szCs w:val="22"/>
      <w:lang w:val="en-US" w:eastAsia="en-US" w:bidi="ar-SA"/>
    </w:rPr>
  </w:style>
  <w:style w:type="character" w:customStyle="1" w:styleId="139">
    <w:name w:val="Heading 1 Char"/>
    <w:basedOn w:val="133"/>
    <w:link w:val="3"/>
    <w:qFormat/>
    <w:uiPriority w:val="9"/>
    <w:rPr>
      <w:rFonts w:ascii="Calibri" w:hAnsi="Calibri" w:eastAsia="MS Gothic" w:cs="Times New Roman"/>
      <w:b/>
      <w:bCs/>
      <w:color w:val="366091"/>
      <w:sz w:val="28"/>
      <w:szCs w:val="28"/>
    </w:rPr>
  </w:style>
  <w:style w:type="character" w:customStyle="1" w:styleId="140">
    <w:name w:val="Heading 2 Char"/>
    <w:basedOn w:val="133"/>
    <w:link w:val="4"/>
    <w:qFormat/>
    <w:uiPriority w:val="9"/>
    <w:rPr>
      <w:rFonts w:ascii="Calibri" w:hAnsi="Calibri" w:eastAsia="MS Gothic" w:cs="Times New Roman"/>
      <w:b/>
      <w:bCs/>
      <w:color w:val="4F81BD"/>
      <w:sz w:val="26"/>
      <w:szCs w:val="26"/>
    </w:rPr>
  </w:style>
  <w:style w:type="character" w:customStyle="1" w:styleId="141">
    <w:name w:val="Heading 3 Char"/>
    <w:basedOn w:val="133"/>
    <w:link w:val="5"/>
    <w:qFormat/>
    <w:uiPriority w:val="9"/>
    <w:rPr>
      <w:rFonts w:ascii="Calibri" w:hAnsi="Calibri" w:eastAsia="MS Gothic" w:cs="Times New Roman"/>
      <w:b/>
      <w:bCs/>
      <w:color w:val="4F81BD"/>
    </w:rPr>
  </w:style>
  <w:style w:type="character" w:customStyle="1" w:styleId="142">
    <w:name w:val="Title Char"/>
    <w:basedOn w:val="133"/>
    <w:link w:val="32"/>
    <w:qFormat/>
    <w:uiPriority w:val="10"/>
    <w:rPr>
      <w:rFonts w:ascii="Calibri" w:hAnsi="Calibri" w:eastAsia="MS Gothic" w:cs="Times New Roman"/>
      <w:color w:val="17365D"/>
      <w:spacing w:val="5"/>
      <w:kern w:val="28"/>
      <w:sz w:val="52"/>
      <w:szCs w:val="52"/>
    </w:rPr>
  </w:style>
  <w:style w:type="character" w:customStyle="1" w:styleId="143">
    <w:name w:val="Subtitle Char"/>
    <w:basedOn w:val="133"/>
    <w:link w:val="26"/>
    <w:qFormat/>
    <w:uiPriority w:val="11"/>
    <w:rPr>
      <w:rFonts w:ascii="Calibri" w:hAnsi="Calibri" w:eastAsia="MS Gothic" w:cs="Times New Roman"/>
      <w:i/>
      <w:iCs/>
      <w:color w:val="4F81BD"/>
      <w:spacing w:val="15"/>
      <w:sz w:val="24"/>
      <w:szCs w:val="24"/>
    </w:rPr>
  </w:style>
  <w:style w:type="paragraph" w:styleId="144">
    <w:name w:val="List Paragraph"/>
    <w:basedOn w:val="1"/>
    <w:qFormat/>
    <w:uiPriority w:val="34"/>
    <w:pPr>
      <w:ind w:left="720"/>
      <w:contextualSpacing/>
    </w:pPr>
  </w:style>
  <w:style w:type="character" w:customStyle="1" w:styleId="145">
    <w:name w:val="Body Text Char"/>
    <w:basedOn w:val="133"/>
    <w:link w:val="19"/>
    <w:qFormat/>
    <w:uiPriority w:val="99"/>
  </w:style>
  <w:style w:type="character" w:customStyle="1" w:styleId="146">
    <w:name w:val="Body Text 2 Char"/>
    <w:basedOn w:val="133"/>
    <w:link w:val="28"/>
    <w:qFormat/>
    <w:uiPriority w:val="99"/>
  </w:style>
  <w:style w:type="character" w:customStyle="1" w:styleId="147">
    <w:name w:val="Body Text 3 Char"/>
    <w:basedOn w:val="133"/>
    <w:link w:val="17"/>
    <w:qFormat/>
    <w:uiPriority w:val="99"/>
    <w:rPr>
      <w:sz w:val="16"/>
      <w:szCs w:val="16"/>
    </w:rPr>
  </w:style>
  <w:style w:type="character" w:customStyle="1" w:styleId="148">
    <w:name w:val="Macro Text Char"/>
    <w:basedOn w:val="133"/>
    <w:link w:val="2"/>
    <w:qFormat/>
    <w:uiPriority w:val="99"/>
    <w:rPr>
      <w:rFonts w:ascii="Courier" w:hAnsi="Courier"/>
      <w:sz w:val="20"/>
      <w:szCs w:val="20"/>
    </w:rPr>
  </w:style>
  <w:style w:type="paragraph" w:styleId="149">
    <w:name w:val="Quote"/>
    <w:basedOn w:val="1"/>
    <w:next w:val="1"/>
    <w:link w:val="150"/>
    <w:qFormat/>
    <w:uiPriority w:val="29"/>
    <w:rPr>
      <w:i/>
      <w:iCs/>
      <w:color w:val="000000"/>
    </w:rPr>
  </w:style>
  <w:style w:type="character" w:customStyle="1" w:styleId="150">
    <w:name w:val="Quote Char"/>
    <w:basedOn w:val="133"/>
    <w:link w:val="149"/>
    <w:qFormat/>
    <w:uiPriority w:val="29"/>
    <w:rPr>
      <w:i/>
      <w:iCs/>
      <w:color w:val="000000"/>
    </w:rPr>
  </w:style>
  <w:style w:type="character" w:customStyle="1" w:styleId="151">
    <w:name w:val="Heading 4 Char"/>
    <w:basedOn w:val="133"/>
    <w:link w:val="6"/>
    <w:semiHidden/>
    <w:qFormat/>
    <w:uiPriority w:val="9"/>
    <w:rPr>
      <w:rFonts w:ascii="Calibri" w:hAnsi="Calibri" w:eastAsia="MS Gothic" w:cs="Times New Roman"/>
      <w:b/>
      <w:bCs/>
      <w:i/>
      <w:iCs/>
      <w:color w:val="4F81BD"/>
    </w:rPr>
  </w:style>
  <w:style w:type="character" w:customStyle="1" w:styleId="152">
    <w:name w:val="Heading 5 Char"/>
    <w:basedOn w:val="133"/>
    <w:link w:val="7"/>
    <w:semiHidden/>
    <w:qFormat/>
    <w:uiPriority w:val="9"/>
    <w:rPr>
      <w:rFonts w:ascii="Calibri" w:hAnsi="Calibri" w:eastAsia="MS Gothic" w:cs="Times New Roman"/>
      <w:color w:val="244061"/>
    </w:rPr>
  </w:style>
  <w:style w:type="character" w:customStyle="1" w:styleId="153">
    <w:name w:val="Heading 6 Char"/>
    <w:basedOn w:val="133"/>
    <w:link w:val="8"/>
    <w:semiHidden/>
    <w:qFormat/>
    <w:uiPriority w:val="9"/>
    <w:rPr>
      <w:rFonts w:ascii="Calibri" w:hAnsi="Calibri" w:eastAsia="MS Gothic" w:cs="Times New Roman"/>
      <w:i/>
      <w:iCs/>
      <w:color w:val="244061"/>
    </w:rPr>
  </w:style>
  <w:style w:type="character" w:customStyle="1" w:styleId="154">
    <w:name w:val="Heading 7 Char"/>
    <w:basedOn w:val="133"/>
    <w:link w:val="9"/>
    <w:semiHidden/>
    <w:qFormat/>
    <w:uiPriority w:val="9"/>
    <w:rPr>
      <w:rFonts w:ascii="Calibri" w:hAnsi="Calibri" w:eastAsia="MS Gothic" w:cs="Times New Roman"/>
      <w:i/>
      <w:iCs/>
      <w:color w:val="3F3F3F"/>
    </w:rPr>
  </w:style>
  <w:style w:type="character" w:customStyle="1" w:styleId="155">
    <w:name w:val="Heading 8 Char"/>
    <w:basedOn w:val="133"/>
    <w:link w:val="10"/>
    <w:semiHidden/>
    <w:qFormat/>
    <w:uiPriority w:val="9"/>
    <w:rPr>
      <w:rFonts w:ascii="Calibri" w:hAnsi="Calibri" w:eastAsia="MS Gothic" w:cs="Times New Roman"/>
      <w:color w:val="4F81BD"/>
      <w:sz w:val="20"/>
      <w:szCs w:val="20"/>
    </w:rPr>
  </w:style>
  <w:style w:type="character" w:customStyle="1" w:styleId="156">
    <w:name w:val="Heading 9 Char"/>
    <w:basedOn w:val="133"/>
    <w:link w:val="11"/>
    <w:semiHidden/>
    <w:qFormat/>
    <w:uiPriority w:val="9"/>
    <w:rPr>
      <w:rFonts w:ascii="Calibri" w:hAnsi="Calibri" w:eastAsia="MS Gothic" w:cs="Times New Roman"/>
      <w:i/>
      <w:iCs/>
      <w:color w:val="3F3F3F"/>
      <w:sz w:val="20"/>
      <w:szCs w:val="20"/>
    </w:rPr>
  </w:style>
  <w:style w:type="paragraph" w:styleId="157">
    <w:name w:val="Intense Quote"/>
    <w:basedOn w:val="1"/>
    <w:next w:val="1"/>
    <w:link w:val="158"/>
    <w:qFormat/>
    <w:uiPriority w:val="30"/>
    <w:pPr>
      <w:pBdr>
        <w:bottom w:val="single" w:color="4F81BD" w:sz="4" w:space="4"/>
      </w:pBdr>
      <w:spacing w:before="200" w:after="280"/>
      <w:ind w:left="936" w:right="936"/>
    </w:pPr>
    <w:rPr>
      <w:b/>
      <w:bCs/>
      <w:i/>
      <w:iCs/>
      <w:color w:val="4F81BD"/>
    </w:rPr>
  </w:style>
  <w:style w:type="character" w:customStyle="1" w:styleId="158">
    <w:name w:val="Intense Quote Char"/>
    <w:basedOn w:val="133"/>
    <w:link w:val="157"/>
    <w:qFormat/>
    <w:uiPriority w:val="30"/>
    <w:rPr>
      <w:b/>
      <w:bCs/>
      <w:i/>
      <w:iCs/>
      <w:color w:val="4F81BD"/>
    </w:rPr>
  </w:style>
  <w:style w:type="character" w:customStyle="1" w:styleId="159">
    <w:name w:val="Subtle Emphasis"/>
    <w:basedOn w:val="133"/>
    <w:qFormat/>
    <w:uiPriority w:val="19"/>
    <w:rPr>
      <w:i/>
      <w:iCs/>
      <w:color w:val="7F7F7F"/>
    </w:rPr>
  </w:style>
  <w:style w:type="character" w:customStyle="1" w:styleId="160">
    <w:name w:val="Intense Emphasis"/>
    <w:basedOn w:val="133"/>
    <w:qFormat/>
    <w:uiPriority w:val="21"/>
    <w:rPr>
      <w:b/>
      <w:bCs/>
      <w:i/>
      <w:iCs/>
      <w:color w:val="4F81BD"/>
    </w:rPr>
  </w:style>
  <w:style w:type="character" w:customStyle="1" w:styleId="161">
    <w:name w:val="Subtle Reference"/>
    <w:basedOn w:val="133"/>
    <w:qFormat/>
    <w:uiPriority w:val="31"/>
    <w:rPr>
      <w:smallCaps/>
      <w:color w:val="C0504D"/>
      <w:u w:val="single"/>
    </w:rPr>
  </w:style>
  <w:style w:type="character" w:customStyle="1" w:styleId="162">
    <w:name w:val="Intense Reference"/>
    <w:basedOn w:val="133"/>
    <w:qFormat/>
    <w:uiPriority w:val="32"/>
    <w:rPr>
      <w:b/>
      <w:bCs/>
      <w:smallCaps/>
      <w:color w:val="C0504D"/>
      <w:spacing w:val="5"/>
      <w:u w:val="single"/>
    </w:rPr>
  </w:style>
  <w:style w:type="character" w:customStyle="1" w:styleId="163">
    <w:name w:val="Book Title"/>
    <w:basedOn w:val="133"/>
    <w:qFormat/>
    <w:uiPriority w:val="33"/>
    <w:rPr>
      <w:b/>
      <w:bCs/>
      <w:smallCaps/>
      <w:spacing w:val="5"/>
    </w:rPr>
  </w:style>
  <w:style w:type="paragraph" w:customStyle="1" w:styleId="164">
    <w:name w:val="TOC Heading"/>
    <w:basedOn w:val="3"/>
    <w:next w:val="1"/>
    <w:semiHidden/>
    <w:unhideWhenUsed/>
    <w:qFormat/>
    <w:uiPriority w:val="39"/>
    <w:pPr>
      <w:outlineLvl w:val="9"/>
    </w:pPr>
  </w:style>
  <w:style w:type="character" w:customStyle="1" w:styleId="165">
    <w:name w:val="apple-style-span"/>
    <w:basedOn w:val="133"/>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2800</Words>
  <Characters>2948</Characters>
  <Lines>0</Lines>
  <Paragraphs>0</Paragraphs>
  <TotalTime>128</TotalTime>
  <ScaleCrop>false</ScaleCrop>
  <LinksUpToDate>false</LinksUpToDate>
  <CharactersWithSpaces>3031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华为</cp:lastModifiedBy>
  <dcterms:modified xsi:type="dcterms:W3CDTF">2026-07-10T01:15:38Z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eyJoZGlkIjoiNzIwMDJhN2IxZWIzOGY2NTYwN2I5YzQzNThjOGQyNjEiLCJ1c2VySWQiOiIyODI0OTc4MTQifQ==</vt:lpwstr>
  </property>
  <property fmtid="{D5CDD505-2E9C-101B-9397-08002B2CF9AE}" pid="3" name="KSOProductBuildVer">
    <vt:lpwstr>2052-12.1.0.26895</vt:lpwstr>
  </property>
  <property fmtid="{D5CDD505-2E9C-101B-9397-08002B2CF9AE}" pid="4" name="ICV">
    <vt:lpwstr>9AD0CDC005844409AE78B2C2A9DBF25E_13</vt:lpwstr>
  </property>
</Properties>
</file>